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179" w:rsidRDefault="00862057" w:rsidP="00F012B6">
      <w:pPr>
        <w:spacing w:after="240" w:line="240" w:lineRule="auto"/>
        <w:outlineLvl w:val="3"/>
        <w:rPr>
          <w:rFonts w:ascii="Times New Roman" w:eastAsia="Times New Roman" w:hAnsi="Times New Roman" w:cs="Times New Roman"/>
          <w:iCs/>
          <w:color w:val="000000"/>
          <w:sz w:val="24"/>
          <w:szCs w:val="20"/>
          <w:lang w:eastAsia="tr-TR"/>
        </w:rPr>
      </w:pPr>
      <w:r w:rsidRPr="00862057">
        <w:rPr>
          <w:rFonts w:ascii="Times New Roman" w:eastAsia="Times New Roman" w:hAnsi="Times New Roman" w:cs="Times New Roman"/>
          <w:iCs/>
          <w:color w:val="000000"/>
          <w:sz w:val="24"/>
          <w:szCs w:val="20"/>
          <w:lang w:eastAsia="tr-TR"/>
        </w:rPr>
        <w:t xml:space="preserve">Çocuklar </w:t>
      </w:r>
      <w:r w:rsidR="00CA187D" w:rsidRPr="00862057">
        <w:rPr>
          <w:rFonts w:ascii="Times New Roman" w:eastAsia="Times New Roman" w:hAnsi="Times New Roman" w:cs="Times New Roman"/>
          <w:iCs/>
          <w:color w:val="000000"/>
          <w:sz w:val="24"/>
          <w:szCs w:val="20"/>
          <w:lang w:eastAsia="tr-TR"/>
        </w:rPr>
        <w:t xml:space="preserve">Her Türlü İhmal </w:t>
      </w:r>
      <w:r w:rsidR="00CA187D">
        <w:rPr>
          <w:rFonts w:ascii="Times New Roman" w:eastAsia="Times New Roman" w:hAnsi="Times New Roman" w:cs="Times New Roman"/>
          <w:iCs/>
          <w:color w:val="000000"/>
          <w:sz w:val="24"/>
          <w:szCs w:val="20"/>
          <w:lang w:eastAsia="tr-TR"/>
        </w:rPr>
        <w:t>v</w:t>
      </w:r>
      <w:r w:rsidR="00CA187D" w:rsidRPr="00862057">
        <w:rPr>
          <w:rFonts w:ascii="Times New Roman" w:eastAsia="Times New Roman" w:hAnsi="Times New Roman" w:cs="Times New Roman"/>
          <w:iCs/>
          <w:color w:val="000000"/>
          <w:sz w:val="24"/>
          <w:szCs w:val="20"/>
          <w:lang w:eastAsia="tr-TR"/>
        </w:rPr>
        <w:t xml:space="preserve">e İstismardan Korunmalı </w:t>
      </w:r>
      <w:r w:rsidR="00CA187D">
        <w:rPr>
          <w:rFonts w:ascii="Times New Roman" w:eastAsia="Times New Roman" w:hAnsi="Times New Roman" w:cs="Times New Roman"/>
          <w:iCs/>
          <w:color w:val="000000"/>
          <w:sz w:val="24"/>
          <w:szCs w:val="20"/>
          <w:lang w:eastAsia="tr-TR"/>
        </w:rPr>
        <w:t>v</w:t>
      </w:r>
      <w:r w:rsidR="00CA187D" w:rsidRPr="00862057">
        <w:rPr>
          <w:rFonts w:ascii="Times New Roman" w:eastAsia="Times New Roman" w:hAnsi="Times New Roman" w:cs="Times New Roman"/>
          <w:iCs/>
          <w:color w:val="000000"/>
          <w:sz w:val="24"/>
          <w:szCs w:val="20"/>
          <w:lang w:eastAsia="tr-TR"/>
        </w:rPr>
        <w:t>e Onlar Her Koşulda Yetişkinl</w:t>
      </w:r>
      <w:r w:rsidR="00CA187D">
        <w:rPr>
          <w:rFonts w:ascii="Times New Roman" w:eastAsia="Times New Roman" w:hAnsi="Times New Roman" w:cs="Times New Roman"/>
          <w:iCs/>
          <w:color w:val="000000"/>
          <w:sz w:val="24"/>
          <w:szCs w:val="20"/>
          <w:lang w:eastAsia="tr-TR"/>
        </w:rPr>
        <w:t>erden Daha Özel Ele Alınmalıdır</w:t>
      </w:r>
      <w:r w:rsidR="00B95633">
        <w:rPr>
          <w:rFonts w:ascii="Times New Roman" w:eastAsia="Times New Roman" w:hAnsi="Times New Roman" w:cs="Times New Roman"/>
          <w:iCs/>
          <w:color w:val="000000"/>
          <w:sz w:val="24"/>
          <w:szCs w:val="20"/>
          <w:lang w:eastAsia="tr-TR"/>
        </w:rPr>
        <w:t xml:space="preserve"> </w:t>
      </w:r>
      <w:r w:rsidR="00B95633">
        <w:rPr>
          <w:rStyle w:val="DipnotBavurusu"/>
          <w:rFonts w:ascii="Times New Roman" w:eastAsia="Times New Roman" w:hAnsi="Times New Roman" w:cs="Times New Roman"/>
          <w:iCs/>
          <w:color w:val="000000"/>
          <w:sz w:val="24"/>
          <w:szCs w:val="20"/>
          <w:lang w:eastAsia="tr-TR"/>
        </w:rPr>
        <w:footnoteReference w:customMarkFollows="1" w:id="1"/>
        <w:t>*</w:t>
      </w:r>
    </w:p>
    <w:p w:rsidR="00FD3179" w:rsidRPr="00FD3179" w:rsidRDefault="00862057" w:rsidP="00F012B6">
      <w:pPr>
        <w:spacing w:before="240" w:after="240" w:line="240" w:lineRule="auto"/>
        <w:outlineLvl w:val="3"/>
        <w:rPr>
          <w:rFonts w:ascii="Arial" w:eastAsia="Times New Roman" w:hAnsi="Arial" w:cs="Arial"/>
          <w:i/>
          <w:iCs/>
          <w:color w:val="000000"/>
          <w:sz w:val="20"/>
          <w:szCs w:val="20"/>
          <w:lang w:eastAsia="tr-TR"/>
        </w:rPr>
      </w:pPr>
      <w:r w:rsidRPr="00862057">
        <w:rPr>
          <w:rFonts w:ascii="Times New Roman" w:eastAsia="Times New Roman" w:hAnsi="Times New Roman" w:cs="Times New Roman"/>
          <w:i/>
          <w:iCs/>
          <w:color w:val="000000"/>
          <w:sz w:val="24"/>
          <w:szCs w:val="20"/>
          <w:lang w:eastAsia="tr-TR"/>
        </w:rPr>
        <w:t xml:space="preserve">Çocuklar </w:t>
      </w:r>
      <w:r w:rsidR="00CA187D" w:rsidRPr="00862057">
        <w:rPr>
          <w:rFonts w:ascii="Times New Roman" w:eastAsia="Times New Roman" w:hAnsi="Times New Roman" w:cs="Times New Roman"/>
          <w:i/>
          <w:iCs/>
          <w:color w:val="000000"/>
          <w:sz w:val="24"/>
          <w:szCs w:val="20"/>
          <w:lang w:eastAsia="tr-TR"/>
        </w:rPr>
        <w:t xml:space="preserve">Her Türlü İhmal </w:t>
      </w:r>
      <w:r w:rsidR="00CA187D">
        <w:rPr>
          <w:rFonts w:ascii="Times New Roman" w:eastAsia="Times New Roman" w:hAnsi="Times New Roman" w:cs="Times New Roman"/>
          <w:i/>
          <w:iCs/>
          <w:color w:val="000000"/>
          <w:sz w:val="24"/>
          <w:szCs w:val="20"/>
          <w:lang w:eastAsia="tr-TR"/>
        </w:rPr>
        <w:t>v</w:t>
      </w:r>
      <w:r w:rsidR="00CA187D" w:rsidRPr="00862057">
        <w:rPr>
          <w:rFonts w:ascii="Times New Roman" w:eastAsia="Times New Roman" w:hAnsi="Times New Roman" w:cs="Times New Roman"/>
          <w:i/>
          <w:iCs/>
          <w:color w:val="000000"/>
          <w:sz w:val="24"/>
          <w:szCs w:val="20"/>
          <w:lang w:eastAsia="tr-TR"/>
        </w:rPr>
        <w:t xml:space="preserve">e İstismardan Korunmalı </w:t>
      </w:r>
      <w:r w:rsidR="00CA187D">
        <w:rPr>
          <w:rFonts w:ascii="Times New Roman" w:eastAsia="Times New Roman" w:hAnsi="Times New Roman" w:cs="Times New Roman"/>
          <w:i/>
          <w:iCs/>
          <w:color w:val="000000"/>
          <w:sz w:val="24"/>
          <w:szCs w:val="20"/>
          <w:lang w:eastAsia="tr-TR"/>
        </w:rPr>
        <w:t>v</w:t>
      </w:r>
      <w:r w:rsidR="00CA187D" w:rsidRPr="00862057">
        <w:rPr>
          <w:rFonts w:ascii="Times New Roman" w:eastAsia="Times New Roman" w:hAnsi="Times New Roman" w:cs="Times New Roman"/>
          <w:i/>
          <w:iCs/>
          <w:color w:val="000000"/>
          <w:sz w:val="24"/>
          <w:szCs w:val="20"/>
          <w:lang w:eastAsia="tr-TR"/>
        </w:rPr>
        <w:t>e Onlar Her Koşulda Yetişkinl</w:t>
      </w:r>
      <w:r w:rsidR="00CA187D">
        <w:rPr>
          <w:rFonts w:ascii="Times New Roman" w:eastAsia="Times New Roman" w:hAnsi="Times New Roman" w:cs="Times New Roman"/>
          <w:i/>
          <w:iCs/>
          <w:color w:val="000000"/>
          <w:sz w:val="24"/>
          <w:szCs w:val="20"/>
          <w:lang w:eastAsia="tr-TR"/>
        </w:rPr>
        <w:t>erden Daha Özel Ele Alınmalıdır</w:t>
      </w:r>
    </w:p>
    <w:tbl>
      <w:tblPr>
        <w:tblStyle w:val="TabloKlavuzu"/>
        <w:tblW w:w="0" w:type="auto"/>
        <w:tblBorders>
          <w:top w:val="dashSmallGap" w:sz="8" w:space="0" w:color="71C1B7"/>
          <w:left w:val="none" w:sz="0" w:space="0" w:color="auto"/>
          <w:bottom w:val="dashSmallGap" w:sz="8" w:space="0" w:color="71C1B7"/>
          <w:right w:val="none" w:sz="0" w:space="0" w:color="auto"/>
          <w:insideH w:val="none" w:sz="0" w:space="0" w:color="auto"/>
          <w:insideV w:val="none" w:sz="0" w:space="0" w:color="auto"/>
        </w:tblBorders>
        <w:tblCellMar>
          <w:top w:w="113" w:type="dxa"/>
          <w:left w:w="0" w:type="dxa"/>
          <w:bottom w:w="113" w:type="dxa"/>
          <w:right w:w="0" w:type="dxa"/>
        </w:tblCellMar>
        <w:tblLook w:val="04A0" w:firstRow="1" w:lastRow="0" w:firstColumn="1" w:lastColumn="0" w:noHBand="0" w:noVBand="1"/>
      </w:tblPr>
      <w:tblGrid>
        <w:gridCol w:w="3261"/>
        <w:gridCol w:w="141"/>
        <w:gridCol w:w="5670"/>
      </w:tblGrid>
      <w:tr w:rsidR="00EC3059" w:rsidRPr="00F012B6" w:rsidTr="00E94E22">
        <w:trPr>
          <w:trHeight w:val="1371"/>
        </w:trPr>
        <w:tc>
          <w:tcPr>
            <w:tcW w:w="3261" w:type="dxa"/>
            <w:tcBorders>
              <w:top w:val="dashSmallGap" w:sz="4" w:space="0" w:color="71C1B7"/>
            </w:tcBorders>
          </w:tcPr>
          <w:p w:rsidR="00EC3059" w:rsidRPr="00245496" w:rsidRDefault="00EC3059" w:rsidP="00196155">
            <w:pPr>
              <w:rPr>
                <w:rFonts w:ascii="Times New Roman" w:hAnsi="Times New Roman" w:cs="Times New Roman"/>
                <w:b/>
                <w:sz w:val="20"/>
              </w:rPr>
            </w:pPr>
            <w:r w:rsidRPr="00245496">
              <w:rPr>
                <w:rFonts w:ascii="Times New Roman" w:hAnsi="Times New Roman" w:cs="Times New Roman"/>
                <w:b/>
                <w:sz w:val="20"/>
              </w:rPr>
              <w:t>Mustafa Ruhi Şirin</w:t>
            </w:r>
          </w:p>
          <w:p w:rsidR="00EC3059" w:rsidRDefault="00EC3059" w:rsidP="005E605E">
            <w:pPr>
              <w:rPr>
                <w:rFonts w:ascii="Times New Roman" w:hAnsi="Times New Roman" w:cs="Times New Roman"/>
                <w:i/>
                <w:sz w:val="18"/>
              </w:rPr>
            </w:pPr>
            <w:r w:rsidRPr="00EC3059">
              <w:rPr>
                <w:rFonts w:ascii="Times New Roman" w:hAnsi="Times New Roman" w:cs="Times New Roman"/>
                <w:i/>
                <w:sz w:val="18"/>
              </w:rPr>
              <w:t xml:space="preserve">Çocuk Vakfi Başkanı, </w:t>
            </w:r>
            <w:r>
              <w:rPr>
                <w:rFonts w:ascii="Times New Roman" w:hAnsi="Times New Roman" w:cs="Times New Roman"/>
                <w:i/>
                <w:sz w:val="18"/>
              </w:rPr>
              <w:t>Türkiye</w:t>
            </w:r>
            <w:r>
              <w:rPr>
                <w:rFonts w:ascii="Times New Roman" w:hAnsi="Times New Roman" w:cs="Times New Roman"/>
                <w:i/>
                <w:sz w:val="18"/>
              </w:rPr>
              <w:br/>
            </w:r>
            <w:r w:rsidRPr="00EC3059">
              <w:rPr>
                <w:rFonts w:ascii="Times New Roman" w:hAnsi="Times New Roman" w:cs="Times New Roman"/>
                <w:i/>
                <w:sz w:val="18"/>
              </w:rPr>
              <w:t>sirin@cocukvakfi.org.tr</w:t>
            </w:r>
          </w:p>
          <w:p w:rsidR="005E605E" w:rsidRPr="00863CA8" w:rsidRDefault="005E605E" w:rsidP="005E605E">
            <w:pPr>
              <w:rPr>
                <w:rFonts w:ascii="Times New Roman" w:hAnsi="Times New Roman" w:cs="Times New Roman"/>
                <w:sz w:val="20"/>
              </w:rPr>
            </w:pPr>
          </w:p>
          <w:p w:rsidR="00EC3059" w:rsidRPr="00245496" w:rsidRDefault="00EC3059" w:rsidP="00196155">
            <w:pPr>
              <w:rPr>
                <w:rFonts w:ascii="Times New Roman" w:hAnsi="Times New Roman" w:cs="Times New Roman"/>
                <w:b/>
                <w:sz w:val="20"/>
              </w:rPr>
            </w:pPr>
            <w:r w:rsidRPr="00245496">
              <w:rPr>
                <w:rFonts w:ascii="Times New Roman" w:hAnsi="Times New Roman" w:cs="Times New Roman"/>
                <w:b/>
                <w:sz w:val="20"/>
              </w:rPr>
              <w:t>Mehmet Palancı</w:t>
            </w:r>
          </w:p>
          <w:p w:rsidR="00EC3059" w:rsidRPr="00EC3059" w:rsidRDefault="00EC3059" w:rsidP="00196155">
            <w:pPr>
              <w:rPr>
                <w:rFonts w:ascii="Times New Roman" w:hAnsi="Times New Roman" w:cs="Times New Roman"/>
                <w:i/>
                <w:sz w:val="18"/>
              </w:rPr>
            </w:pPr>
            <w:r w:rsidRPr="00EC3059">
              <w:rPr>
                <w:rFonts w:ascii="Times New Roman" w:hAnsi="Times New Roman" w:cs="Times New Roman"/>
                <w:i/>
                <w:sz w:val="18"/>
              </w:rPr>
              <w:t>Karadeniz Teknik Üniversitesi, Eğitim Fakültesi, Özel Eğitim Bölümü</w:t>
            </w:r>
            <w:r>
              <w:rPr>
                <w:rFonts w:ascii="Times New Roman" w:hAnsi="Times New Roman" w:cs="Times New Roman"/>
                <w:i/>
                <w:sz w:val="18"/>
              </w:rPr>
              <w:t>, Türkiye</w:t>
            </w:r>
            <w:r w:rsidRPr="00EC3059">
              <w:rPr>
                <w:rFonts w:ascii="Times New Roman" w:hAnsi="Times New Roman" w:cs="Times New Roman"/>
                <w:i/>
                <w:sz w:val="18"/>
              </w:rPr>
              <w:br/>
              <w:t>mpalanci@gmail.com</w:t>
            </w:r>
          </w:p>
          <w:p w:rsidR="00EC3059" w:rsidRPr="00863CA8" w:rsidRDefault="00EC3059" w:rsidP="00196155">
            <w:pPr>
              <w:rPr>
                <w:rFonts w:ascii="Times New Roman" w:hAnsi="Times New Roman" w:cs="Times New Roman"/>
                <w:sz w:val="20"/>
              </w:rPr>
            </w:pPr>
          </w:p>
          <w:p w:rsidR="00EC3059" w:rsidRPr="00245496" w:rsidRDefault="00EC3059" w:rsidP="00196155">
            <w:pPr>
              <w:rPr>
                <w:rFonts w:ascii="Times New Roman" w:hAnsi="Times New Roman" w:cs="Times New Roman"/>
                <w:b/>
                <w:sz w:val="20"/>
              </w:rPr>
            </w:pPr>
            <w:r w:rsidRPr="00245496">
              <w:rPr>
                <w:rFonts w:ascii="Times New Roman" w:hAnsi="Times New Roman" w:cs="Times New Roman"/>
                <w:b/>
                <w:sz w:val="20"/>
              </w:rPr>
              <w:t>Hüseyin Körpeoğlu</w:t>
            </w:r>
          </w:p>
          <w:p w:rsidR="00EC3059" w:rsidRPr="00EC3059" w:rsidRDefault="00EC3059" w:rsidP="00196155">
            <w:pPr>
              <w:rPr>
                <w:rFonts w:ascii="Times New Roman" w:hAnsi="Times New Roman" w:cs="Times New Roman"/>
                <w:i/>
                <w:sz w:val="20"/>
              </w:rPr>
            </w:pPr>
            <w:r w:rsidRPr="00EC3059">
              <w:rPr>
                <w:rFonts w:ascii="Times New Roman" w:hAnsi="Times New Roman" w:cs="Times New Roman"/>
                <w:i/>
                <w:sz w:val="18"/>
              </w:rPr>
              <w:t>Türk Eğitim Derneği, Türkiye</w:t>
            </w:r>
            <w:r w:rsidRPr="00EC3059">
              <w:rPr>
                <w:rFonts w:ascii="Times New Roman" w:hAnsi="Times New Roman" w:cs="Times New Roman"/>
                <w:i/>
                <w:sz w:val="18"/>
              </w:rPr>
              <w:br/>
              <w:t>huseyin@unak.org.tr</w:t>
            </w:r>
          </w:p>
        </w:tc>
        <w:tc>
          <w:tcPr>
            <w:tcW w:w="141" w:type="dxa"/>
            <w:tcBorders>
              <w:top w:val="dashSmallGap" w:sz="4" w:space="0" w:color="71C1B7"/>
              <w:bottom w:val="nil"/>
            </w:tcBorders>
          </w:tcPr>
          <w:p w:rsidR="00EC3059" w:rsidRPr="00F012B6" w:rsidRDefault="00EC3059" w:rsidP="00196155">
            <w:pPr>
              <w:rPr>
                <w:rFonts w:ascii="Times New Roman" w:hAnsi="Times New Roman" w:cs="Times New Roman"/>
                <w:b/>
                <w:sz w:val="20"/>
              </w:rPr>
            </w:pPr>
          </w:p>
        </w:tc>
        <w:tc>
          <w:tcPr>
            <w:tcW w:w="5670" w:type="dxa"/>
            <w:vMerge w:val="restart"/>
            <w:tcBorders>
              <w:top w:val="dashSmallGap" w:sz="4" w:space="0" w:color="71C1B7"/>
              <w:bottom w:val="dashSmallGap" w:sz="8" w:space="0" w:color="71C1B7"/>
            </w:tcBorders>
          </w:tcPr>
          <w:p w:rsidR="00EC3059" w:rsidRDefault="00EC3059" w:rsidP="00196155">
            <w:pPr>
              <w:rPr>
                <w:rFonts w:ascii="Times New Roman" w:hAnsi="Times New Roman" w:cs="Times New Roman"/>
                <w:b/>
                <w:sz w:val="20"/>
              </w:rPr>
            </w:pPr>
            <w:r w:rsidRPr="00F012B6">
              <w:rPr>
                <w:rFonts w:ascii="Times New Roman" w:hAnsi="Times New Roman" w:cs="Times New Roman"/>
                <w:b/>
                <w:sz w:val="20"/>
              </w:rPr>
              <w:t>ÖZ</w:t>
            </w:r>
          </w:p>
          <w:p w:rsidR="00EC3059" w:rsidRDefault="00B65DDF" w:rsidP="00F012B6">
            <w:pPr>
              <w:spacing w:after="120"/>
              <w:jc w:val="both"/>
              <w:rPr>
                <w:rFonts w:ascii="Times New Roman" w:hAnsi="Times New Roman" w:cs="Times New Roman"/>
                <w:sz w:val="20"/>
              </w:rPr>
            </w:pPr>
            <w:r w:rsidRPr="00C03765">
              <w:rPr>
                <w:rFonts w:ascii="Times New Roman" w:hAnsi="Times New Roman" w:cs="Times New Roman"/>
                <w:sz w:val="20"/>
              </w:rPr>
              <w:t>Çocuğun sosyal, kültürel ve eğitim bakımından gelişmesine katkıda bulunmak.</w:t>
            </w:r>
            <w:r>
              <w:rPr>
                <w:rFonts w:ascii="Times New Roman" w:hAnsi="Times New Roman" w:cs="Times New Roman"/>
                <w:sz w:val="20"/>
              </w:rPr>
              <w:t xml:space="preserve"> </w:t>
            </w:r>
            <w:r w:rsidRPr="00C03765">
              <w:rPr>
                <w:rFonts w:ascii="Times New Roman" w:hAnsi="Times New Roman" w:cs="Times New Roman"/>
                <w:sz w:val="20"/>
              </w:rPr>
              <w:t>Çocukluk çağlarının evreleri dikkate alınarak</w:t>
            </w:r>
            <w:r>
              <w:rPr>
                <w:rFonts w:ascii="Times New Roman" w:hAnsi="Times New Roman" w:cs="Times New Roman"/>
                <w:sz w:val="20"/>
              </w:rPr>
              <w:t xml:space="preserve"> </w:t>
            </w:r>
            <w:r w:rsidRPr="00C03765">
              <w:rPr>
                <w:rFonts w:ascii="Times New Roman" w:hAnsi="Times New Roman" w:cs="Times New Roman"/>
                <w:sz w:val="20"/>
              </w:rPr>
              <w:t>programlar geliştirmek. Çocuk psikolojisi, sağlığı, eğitimi alanlarında ortaya çıkan verilerin</w:t>
            </w:r>
            <w:r>
              <w:rPr>
                <w:rFonts w:ascii="Times New Roman" w:hAnsi="Times New Roman" w:cs="Times New Roman"/>
                <w:sz w:val="20"/>
              </w:rPr>
              <w:t xml:space="preserve"> </w:t>
            </w:r>
            <w:r w:rsidRPr="00C03765">
              <w:rPr>
                <w:rFonts w:ascii="Times New Roman" w:hAnsi="Times New Roman" w:cs="Times New Roman"/>
                <w:sz w:val="20"/>
              </w:rPr>
              <w:t>ışığında okul öncesi ve okul çağı çocuklarının sorunlarına yardımcı olacak araştırmaların yapılmasına ortam hazırlamak. Aile, çocuk, okul ve çevre ilişkilerinin düzenlenmesinde benzer kurum ve kuruluşlarla işbirliğini sağlamak. Beden ve ruh sağlığının kazanılmasında, özel ilgi gerektiren çocuklara yönelik çalışmalara öncülük etmek.</w:t>
            </w:r>
            <w:r>
              <w:rPr>
                <w:rFonts w:ascii="Times New Roman" w:hAnsi="Times New Roman" w:cs="Times New Roman"/>
                <w:sz w:val="20"/>
              </w:rPr>
              <w:t xml:space="preserve"> </w:t>
            </w:r>
            <w:r w:rsidRPr="00C03765">
              <w:rPr>
                <w:rFonts w:ascii="Times New Roman" w:hAnsi="Times New Roman" w:cs="Times New Roman"/>
                <w:sz w:val="20"/>
              </w:rPr>
              <w:t>Çalışan çocukların sorunlarına sosyal açıdan çözümler sağlayıcı öneriler geliştirmek. Aile ve çocuk konulu sosyal araştırmaların sonuçlarını kamuoyuna duyurmak.</w:t>
            </w:r>
            <w:r>
              <w:rPr>
                <w:rFonts w:ascii="Times New Roman" w:hAnsi="Times New Roman" w:cs="Times New Roman"/>
                <w:sz w:val="20"/>
              </w:rPr>
              <w:t xml:space="preserve"> </w:t>
            </w:r>
            <w:r w:rsidRPr="00C03765">
              <w:rPr>
                <w:rFonts w:ascii="Times New Roman" w:hAnsi="Times New Roman" w:cs="Times New Roman"/>
                <w:sz w:val="20"/>
              </w:rPr>
              <w:t>Çocukları olumsuz yönde etkileyen uyarıcılar karşısında</w:t>
            </w:r>
            <w:r>
              <w:rPr>
                <w:rFonts w:ascii="Times New Roman" w:hAnsi="Times New Roman" w:cs="Times New Roman"/>
                <w:sz w:val="20"/>
              </w:rPr>
              <w:t xml:space="preserve"> </w:t>
            </w:r>
            <w:r w:rsidRPr="00C03765">
              <w:rPr>
                <w:rFonts w:ascii="Times New Roman" w:hAnsi="Times New Roman" w:cs="Times New Roman"/>
                <w:sz w:val="20"/>
              </w:rPr>
              <w:t>koruyucu tedbirler almak; çocuk haklarının savunulmasında ısrarlı ve kararl</w:t>
            </w:r>
            <w:r>
              <w:rPr>
                <w:rFonts w:ascii="Times New Roman" w:hAnsi="Times New Roman" w:cs="Times New Roman"/>
                <w:sz w:val="20"/>
              </w:rPr>
              <w:t>ı</w:t>
            </w:r>
            <w:r w:rsidRPr="00C03765">
              <w:rPr>
                <w:rFonts w:ascii="Times New Roman" w:hAnsi="Times New Roman" w:cs="Times New Roman"/>
                <w:sz w:val="20"/>
              </w:rPr>
              <w:t xml:space="preserve"> olmak.</w:t>
            </w:r>
          </w:p>
          <w:p w:rsidR="00A62011" w:rsidRPr="00A62011" w:rsidRDefault="00A62011" w:rsidP="00F47D4F">
            <w:pPr>
              <w:spacing w:after="240"/>
              <w:jc w:val="both"/>
              <w:rPr>
                <w:rFonts w:ascii="Times New Roman" w:hAnsi="Times New Roman" w:cs="Times New Roman"/>
                <w:sz w:val="20"/>
              </w:rPr>
            </w:pPr>
            <w:r w:rsidRPr="00A62011">
              <w:rPr>
                <w:rFonts w:ascii="Times New Roman" w:hAnsi="Times New Roman" w:cs="Times New Roman"/>
                <w:b/>
                <w:i/>
                <w:sz w:val="20"/>
              </w:rPr>
              <w:t>Anahtar kelimeler:</w:t>
            </w:r>
            <w:r>
              <w:rPr>
                <w:rFonts w:ascii="Times New Roman" w:hAnsi="Times New Roman" w:cs="Times New Roman"/>
                <w:b/>
                <w:i/>
                <w:sz w:val="20"/>
              </w:rPr>
              <w:t xml:space="preserve"> </w:t>
            </w:r>
            <w:r>
              <w:rPr>
                <w:rFonts w:ascii="Times New Roman" w:hAnsi="Times New Roman" w:cs="Times New Roman"/>
                <w:sz w:val="20"/>
              </w:rPr>
              <w:t>Anahtar kelimeler, çocuk, çocuklar</w:t>
            </w:r>
            <w:r w:rsidR="003E44B1">
              <w:rPr>
                <w:rFonts w:ascii="Times New Roman" w:hAnsi="Times New Roman" w:cs="Times New Roman"/>
                <w:sz w:val="20"/>
              </w:rPr>
              <w:t>, Türkiye</w:t>
            </w:r>
          </w:p>
          <w:p w:rsidR="00EC3059" w:rsidRPr="000F793E" w:rsidRDefault="00EC3059" w:rsidP="000F793E">
            <w:pPr>
              <w:jc w:val="both"/>
              <w:rPr>
                <w:rFonts w:ascii="Times New Roman" w:hAnsi="Times New Roman" w:cs="Times New Roman"/>
                <w:b/>
                <w:sz w:val="20"/>
              </w:rPr>
            </w:pPr>
            <w:r>
              <w:rPr>
                <w:rFonts w:ascii="Times New Roman" w:hAnsi="Times New Roman" w:cs="Times New Roman"/>
                <w:b/>
                <w:sz w:val="20"/>
              </w:rPr>
              <w:t>ABSTRACT</w:t>
            </w:r>
          </w:p>
          <w:p w:rsidR="00A62011" w:rsidRDefault="00C03765" w:rsidP="00A62011">
            <w:pPr>
              <w:spacing w:after="120"/>
              <w:jc w:val="both"/>
              <w:rPr>
                <w:rFonts w:ascii="Times New Roman" w:hAnsi="Times New Roman" w:cs="Times New Roman"/>
                <w:sz w:val="20"/>
              </w:rPr>
            </w:pPr>
            <w:r w:rsidRPr="00C03765">
              <w:rPr>
                <w:rFonts w:ascii="Times New Roman" w:hAnsi="Times New Roman" w:cs="Times New Roman"/>
                <w:sz w:val="20"/>
              </w:rPr>
              <w:t>Çocuğun sosyal, kültürel ve eğitim bakımından gelişmesine katkıda bulunmak.</w:t>
            </w:r>
            <w:r w:rsidR="00B65DDF">
              <w:rPr>
                <w:rFonts w:ascii="Times New Roman" w:hAnsi="Times New Roman" w:cs="Times New Roman"/>
                <w:sz w:val="20"/>
              </w:rPr>
              <w:t xml:space="preserve"> </w:t>
            </w:r>
            <w:r w:rsidRPr="00C03765">
              <w:rPr>
                <w:rFonts w:ascii="Times New Roman" w:hAnsi="Times New Roman" w:cs="Times New Roman"/>
                <w:sz w:val="20"/>
              </w:rPr>
              <w:t>Çocukluk çağlarının evreleri dikkate alınarak</w:t>
            </w:r>
            <w:r w:rsidR="00B65DDF">
              <w:rPr>
                <w:rFonts w:ascii="Times New Roman" w:hAnsi="Times New Roman" w:cs="Times New Roman"/>
                <w:sz w:val="20"/>
              </w:rPr>
              <w:t xml:space="preserve"> </w:t>
            </w:r>
            <w:r w:rsidRPr="00C03765">
              <w:rPr>
                <w:rFonts w:ascii="Times New Roman" w:hAnsi="Times New Roman" w:cs="Times New Roman"/>
                <w:sz w:val="20"/>
              </w:rPr>
              <w:t>programlar geliştirmek. Çocuk psikolojisi, sağlığı, eğitimi alanlarında ortaya çıkan verilerin</w:t>
            </w:r>
            <w:r w:rsidR="00B65DDF">
              <w:rPr>
                <w:rFonts w:ascii="Times New Roman" w:hAnsi="Times New Roman" w:cs="Times New Roman"/>
                <w:sz w:val="20"/>
              </w:rPr>
              <w:t xml:space="preserve"> </w:t>
            </w:r>
            <w:r w:rsidRPr="00C03765">
              <w:rPr>
                <w:rFonts w:ascii="Times New Roman" w:hAnsi="Times New Roman" w:cs="Times New Roman"/>
                <w:sz w:val="20"/>
              </w:rPr>
              <w:t>ışığında okul öncesi ve okul çağı çocuklarının sorunlarına yardımcı olacak araştırmaların yapılmasına ortam hazırlamak. Aile, çocuk, okul ve çevre ilişkilerinin düzenlenmesinde benzer kurum ve kuruluşlarla işbirliğini sağlamak. Beden ve ruh sağlığının kazanılmasında, özel ilgi gerektiren çocuklara yönelik çalışmalara öncülük etmek.</w:t>
            </w:r>
            <w:r w:rsidR="00B65DDF">
              <w:rPr>
                <w:rFonts w:ascii="Times New Roman" w:hAnsi="Times New Roman" w:cs="Times New Roman"/>
                <w:sz w:val="20"/>
              </w:rPr>
              <w:t xml:space="preserve"> </w:t>
            </w:r>
            <w:r w:rsidRPr="00C03765">
              <w:rPr>
                <w:rFonts w:ascii="Times New Roman" w:hAnsi="Times New Roman" w:cs="Times New Roman"/>
                <w:sz w:val="20"/>
              </w:rPr>
              <w:t>Çalışan çocukların sorunlarına sosyal açıdan çözümler sağlayıcı öneriler geliştirmek. Aile ve çocuk konulu sosyal araştırmaların sonuçlarını kamuoyuna duyurmak.</w:t>
            </w:r>
            <w:r w:rsidR="00B65DDF">
              <w:rPr>
                <w:rFonts w:ascii="Times New Roman" w:hAnsi="Times New Roman" w:cs="Times New Roman"/>
                <w:sz w:val="20"/>
              </w:rPr>
              <w:t xml:space="preserve"> </w:t>
            </w:r>
            <w:r w:rsidRPr="00C03765">
              <w:rPr>
                <w:rFonts w:ascii="Times New Roman" w:hAnsi="Times New Roman" w:cs="Times New Roman"/>
                <w:sz w:val="20"/>
              </w:rPr>
              <w:t>Çocukları olumsuz yönde etkileyen uyarıcılar karşısında</w:t>
            </w:r>
            <w:r w:rsidR="00B65DDF">
              <w:rPr>
                <w:rFonts w:ascii="Times New Roman" w:hAnsi="Times New Roman" w:cs="Times New Roman"/>
                <w:sz w:val="20"/>
              </w:rPr>
              <w:t xml:space="preserve"> </w:t>
            </w:r>
            <w:r w:rsidRPr="00C03765">
              <w:rPr>
                <w:rFonts w:ascii="Times New Roman" w:hAnsi="Times New Roman" w:cs="Times New Roman"/>
                <w:sz w:val="20"/>
              </w:rPr>
              <w:t>koruyucu tedbirler almak; çocuk haklarının savunulmasında ısrarlı ve kararl</w:t>
            </w:r>
            <w:r w:rsidR="00B65DDF">
              <w:rPr>
                <w:rFonts w:ascii="Times New Roman" w:hAnsi="Times New Roman" w:cs="Times New Roman"/>
                <w:sz w:val="20"/>
              </w:rPr>
              <w:t>ı</w:t>
            </w:r>
            <w:r w:rsidRPr="00C03765">
              <w:rPr>
                <w:rFonts w:ascii="Times New Roman" w:hAnsi="Times New Roman" w:cs="Times New Roman"/>
                <w:sz w:val="20"/>
              </w:rPr>
              <w:t xml:space="preserve"> olmak.</w:t>
            </w:r>
          </w:p>
          <w:p w:rsidR="00A62011" w:rsidRPr="00A62011" w:rsidRDefault="00A62011" w:rsidP="00A62011">
            <w:pPr>
              <w:jc w:val="both"/>
              <w:rPr>
                <w:rFonts w:ascii="Times New Roman" w:hAnsi="Times New Roman" w:cs="Times New Roman"/>
                <w:sz w:val="20"/>
              </w:rPr>
            </w:pPr>
            <w:r w:rsidRPr="00A62011">
              <w:rPr>
                <w:rFonts w:ascii="Times New Roman" w:hAnsi="Times New Roman" w:cs="Times New Roman"/>
                <w:b/>
                <w:i/>
                <w:sz w:val="20"/>
              </w:rPr>
              <w:t>Keywords:</w:t>
            </w:r>
            <w:r>
              <w:rPr>
                <w:rFonts w:ascii="Times New Roman" w:hAnsi="Times New Roman" w:cs="Times New Roman"/>
                <w:b/>
                <w:i/>
                <w:sz w:val="20"/>
              </w:rPr>
              <w:t xml:space="preserve"> </w:t>
            </w:r>
            <w:r>
              <w:rPr>
                <w:rFonts w:ascii="Times New Roman" w:hAnsi="Times New Roman" w:cs="Times New Roman"/>
                <w:sz w:val="20"/>
              </w:rPr>
              <w:t>Keywords, child, children</w:t>
            </w:r>
            <w:r w:rsidR="003E44B1">
              <w:rPr>
                <w:rFonts w:ascii="Times New Roman" w:hAnsi="Times New Roman" w:cs="Times New Roman"/>
                <w:sz w:val="20"/>
              </w:rPr>
              <w:t>, Türkiye</w:t>
            </w:r>
          </w:p>
        </w:tc>
      </w:tr>
      <w:tr w:rsidR="00EC3059" w:rsidRPr="00F012B6" w:rsidTr="00E94E22">
        <w:trPr>
          <w:trHeight w:val="1253"/>
        </w:trPr>
        <w:tc>
          <w:tcPr>
            <w:tcW w:w="3261" w:type="dxa"/>
            <w:tcBorders>
              <w:bottom w:val="nil"/>
            </w:tcBorders>
          </w:tcPr>
          <w:p w:rsidR="00EC3059" w:rsidRPr="00F012B6" w:rsidRDefault="00EC3059" w:rsidP="00196155">
            <w:pPr>
              <w:rPr>
                <w:rFonts w:ascii="Times New Roman" w:hAnsi="Times New Roman" w:cs="Times New Roman"/>
                <w:sz w:val="20"/>
              </w:rPr>
            </w:pPr>
          </w:p>
        </w:tc>
        <w:tc>
          <w:tcPr>
            <w:tcW w:w="141" w:type="dxa"/>
            <w:tcBorders>
              <w:top w:val="nil"/>
              <w:bottom w:val="nil"/>
            </w:tcBorders>
          </w:tcPr>
          <w:p w:rsidR="00EC3059" w:rsidRPr="00F012B6" w:rsidRDefault="00EC3059" w:rsidP="00196155">
            <w:pPr>
              <w:rPr>
                <w:rFonts w:ascii="Times New Roman" w:hAnsi="Times New Roman" w:cs="Times New Roman"/>
                <w:b/>
                <w:sz w:val="20"/>
              </w:rPr>
            </w:pPr>
          </w:p>
        </w:tc>
        <w:tc>
          <w:tcPr>
            <w:tcW w:w="5670" w:type="dxa"/>
            <w:vMerge/>
            <w:tcBorders>
              <w:top w:val="nil"/>
              <w:bottom w:val="dashSmallGap" w:sz="8" w:space="0" w:color="71C1B7"/>
            </w:tcBorders>
          </w:tcPr>
          <w:p w:rsidR="00EC3059" w:rsidRPr="00F012B6" w:rsidRDefault="00EC3059" w:rsidP="00196155">
            <w:pPr>
              <w:rPr>
                <w:rFonts w:ascii="Times New Roman" w:hAnsi="Times New Roman" w:cs="Times New Roman"/>
                <w:b/>
                <w:sz w:val="20"/>
              </w:rPr>
            </w:pPr>
          </w:p>
        </w:tc>
      </w:tr>
      <w:tr w:rsidR="00EC3059" w:rsidRPr="00F012B6" w:rsidTr="00E94E22">
        <w:trPr>
          <w:trHeight w:val="1253"/>
        </w:trPr>
        <w:tc>
          <w:tcPr>
            <w:tcW w:w="3261" w:type="dxa"/>
            <w:tcBorders>
              <w:top w:val="nil"/>
              <w:bottom w:val="dashSmallGap" w:sz="4" w:space="0" w:color="71C1B7"/>
            </w:tcBorders>
            <w:vAlign w:val="bottom"/>
          </w:tcPr>
          <w:p w:rsidR="00EC3059" w:rsidRDefault="00EC3059" w:rsidP="00F012B6">
            <w:pPr>
              <w:rPr>
                <w:rFonts w:ascii="Times New Roman" w:hAnsi="Times New Roman" w:cs="Times New Roman"/>
                <w:b/>
                <w:i/>
                <w:sz w:val="18"/>
              </w:rPr>
            </w:pPr>
            <w:r w:rsidRPr="00F012B6">
              <w:rPr>
                <w:rFonts w:ascii="Times New Roman" w:hAnsi="Times New Roman" w:cs="Times New Roman"/>
                <w:b/>
                <w:i/>
                <w:sz w:val="18"/>
              </w:rPr>
              <w:t>Geliş Tarihi/Received</w:t>
            </w:r>
          </w:p>
          <w:p w:rsidR="00EC3059" w:rsidRPr="00F012B6" w:rsidRDefault="00EC3059" w:rsidP="00F012B6">
            <w:pPr>
              <w:spacing w:after="120"/>
              <w:rPr>
                <w:rFonts w:ascii="Times New Roman" w:hAnsi="Times New Roman" w:cs="Times New Roman"/>
                <w:sz w:val="18"/>
              </w:rPr>
            </w:pPr>
            <w:r>
              <w:rPr>
                <w:rFonts w:ascii="Times New Roman" w:hAnsi="Times New Roman" w:cs="Times New Roman"/>
                <w:sz w:val="18"/>
              </w:rPr>
              <w:t>10 Mart/March 2015</w:t>
            </w:r>
          </w:p>
          <w:p w:rsidR="00EC3059" w:rsidRDefault="00EC3059" w:rsidP="00F012B6">
            <w:pPr>
              <w:rPr>
                <w:rFonts w:ascii="Times New Roman" w:hAnsi="Times New Roman" w:cs="Times New Roman"/>
                <w:b/>
                <w:i/>
                <w:sz w:val="18"/>
              </w:rPr>
            </w:pPr>
            <w:r w:rsidRPr="00F012B6">
              <w:rPr>
                <w:rFonts w:ascii="Times New Roman" w:hAnsi="Times New Roman" w:cs="Times New Roman"/>
                <w:b/>
                <w:i/>
                <w:sz w:val="18"/>
              </w:rPr>
              <w:t>Kabul Tarihi/Accepted</w:t>
            </w:r>
          </w:p>
          <w:p w:rsidR="00EC3059" w:rsidRPr="00F012B6" w:rsidRDefault="00EC3059" w:rsidP="00F012B6">
            <w:pPr>
              <w:spacing w:after="120"/>
              <w:rPr>
                <w:rFonts w:ascii="Times New Roman" w:hAnsi="Times New Roman" w:cs="Times New Roman"/>
                <w:sz w:val="18"/>
              </w:rPr>
            </w:pPr>
            <w:r>
              <w:rPr>
                <w:rFonts w:ascii="Times New Roman" w:hAnsi="Times New Roman" w:cs="Times New Roman"/>
                <w:sz w:val="18"/>
              </w:rPr>
              <w:t>10 Mayıs/May 2015</w:t>
            </w:r>
          </w:p>
          <w:p w:rsidR="00EC3059" w:rsidRDefault="00EC3059" w:rsidP="00F012B6">
            <w:pPr>
              <w:rPr>
                <w:rFonts w:ascii="Times New Roman" w:hAnsi="Times New Roman" w:cs="Times New Roman"/>
                <w:b/>
                <w:i/>
                <w:sz w:val="18"/>
              </w:rPr>
            </w:pPr>
            <w:r w:rsidRPr="00F012B6">
              <w:rPr>
                <w:rFonts w:ascii="Times New Roman" w:hAnsi="Times New Roman" w:cs="Times New Roman"/>
                <w:b/>
                <w:i/>
                <w:sz w:val="18"/>
              </w:rPr>
              <w:t>Elektronik Yayın Tarihi/Online Published</w:t>
            </w:r>
          </w:p>
          <w:p w:rsidR="00EC3059" w:rsidRPr="00F012B6" w:rsidRDefault="00EC3059" w:rsidP="00F012B6">
            <w:pPr>
              <w:rPr>
                <w:rFonts w:ascii="Times New Roman" w:hAnsi="Times New Roman" w:cs="Times New Roman"/>
                <w:sz w:val="20"/>
              </w:rPr>
            </w:pPr>
            <w:r>
              <w:rPr>
                <w:rFonts w:ascii="Times New Roman" w:hAnsi="Times New Roman" w:cs="Times New Roman"/>
                <w:sz w:val="20"/>
              </w:rPr>
              <w:t>2 Haziran/June 2015</w:t>
            </w:r>
          </w:p>
        </w:tc>
        <w:tc>
          <w:tcPr>
            <w:tcW w:w="141" w:type="dxa"/>
            <w:tcBorders>
              <w:top w:val="nil"/>
              <w:bottom w:val="dashSmallGap" w:sz="4" w:space="0" w:color="71C1B7"/>
            </w:tcBorders>
          </w:tcPr>
          <w:p w:rsidR="00EC3059" w:rsidRPr="00F012B6" w:rsidRDefault="00EC3059" w:rsidP="00196155">
            <w:pPr>
              <w:rPr>
                <w:rFonts w:ascii="Times New Roman" w:hAnsi="Times New Roman" w:cs="Times New Roman"/>
                <w:b/>
                <w:sz w:val="20"/>
              </w:rPr>
            </w:pPr>
          </w:p>
        </w:tc>
        <w:tc>
          <w:tcPr>
            <w:tcW w:w="5670" w:type="dxa"/>
            <w:vMerge/>
            <w:tcBorders>
              <w:top w:val="nil"/>
              <w:bottom w:val="dashSmallGap" w:sz="4" w:space="0" w:color="71C1B7"/>
            </w:tcBorders>
          </w:tcPr>
          <w:p w:rsidR="00EC3059" w:rsidRPr="00F012B6" w:rsidRDefault="00EC3059" w:rsidP="00196155">
            <w:pPr>
              <w:rPr>
                <w:rFonts w:ascii="Times New Roman" w:hAnsi="Times New Roman" w:cs="Times New Roman"/>
                <w:b/>
                <w:sz w:val="20"/>
              </w:rPr>
            </w:pPr>
          </w:p>
        </w:tc>
      </w:tr>
    </w:tbl>
    <w:p w:rsidR="00FD3179" w:rsidRDefault="00E57CB8" w:rsidP="00E57CB8">
      <w:pPr>
        <w:spacing w:before="240" w:after="120"/>
        <w:jc w:val="center"/>
        <w:rPr>
          <w:rFonts w:ascii="Times New Roman" w:hAnsi="Times New Roman" w:cs="Times New Roman"/>
          <w:b/>
          <w:sz w:val="20"/>
        </w:rPr>
      </w:pPr>
      <w:r w:rsidRPr="007241DA">
        <w:rPr>
          <w:rFonts w:ascii="Times New Roman" w:hAnsi="Times New Roman" w:cs="Times New Roman"/>
          <w:b/>
        </w:rPr>
        <w:t>GİRİŞ</w:t>
      </w:r>
    </w:p>
    <w:p w:rsidR="004065B6" w:rsidRPr="004065B6" w:rsidRDefault="004065B6" w:rsidP="004065B6">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Çocuk, insan neslinin biricik anlamlandırma konusudur. Çocukla ilgili anlamlandırma tarihi, kültürel ve felsefi anlamda sorunludur. Anlamlandırmanın farklı olma nedeni ise medeniyet ve kültür farklılığıdır.</w:t>
      </w:r>
    </w:p>
    <w:p w:rsidR="004065B6" w:rsidRPr="004065B6" w:rsidRDefault="004065B6" w:rsidP="004065B6">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Modernleşme döneminde çocuk, dört gelişme evreleri içinde değerlendirilir: Doğumdan iki yaşına kadar duygu devinim evresi, bir. İki yaşından yedi yaş arası işlem öncesi evre, iki. Yedi ile on bir yaş arası somut işlem evresi, üç. On bir yaş sonrası soyut işlem evresi, dört. 20. yüzyılda genel bir yaklaşımla çocuk bir yandan biyolojik sürece dayalı anlamlandırma, diğer yandan çocuk gelişiminin belirlenebilir bazı kesin dönemler aracılığıyla gerçekleşmesi yönünde değerlendirildi. Çocuğa ilişkin kuramların hiç birinin birbirine üstünlüğü olmadığı da bilinmektedir artık. Çocuğun, insanlığın bütün tarihini tekrar ettiği ve gelişimi boyunca insanlığın gelişim süreçlerini tekrarladığı hususu da ortak kabullerden biri olmuştur. Hiç şüphe yok ki son çocuk doğuncaya kadar çocuk anlayışlarındaki farklılıklar varolmayı sürdürecektir.Bu yönü ile çocuk konusu özel bir sorun olmaya da devam edecektir.</w:t>
      </w:r>
    </w:p>
    <w:p w:rsidR="004065B6" w:rsidRPr="004065B6" w:rsidRDefault="004065B6" w:rsidP="004065B6">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lastRenderedPageBreak/>
        <w:t>Yeni ve evrilen dünyada çocuk ve çocukluk kuşatma altındadır. Çocukla ilgili görevlerini çok farklı uzmanlıklara devretmiş durumda olan aile, çocukla üretim dışı zamanlarda ilgilenmektedir. Bu nedenle, çocuk, modern dünyada çok yönlü bir kategoridir. Çocuğun kendini güvende hissettiği ve her yaştan bireyin bir arada bulunduğu geleneksel aile de dönüşmektedir.</w:t>
      </w:r>
    </w:p>
    <w:p w:rsidR="004065B6" w:rsidRPr="004065B6" w:rsidRDefault="004065B6" w:rsidP="004065B6">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Özel ve serbest mekân arasında kişi ve toplum yanında, ailenin bütün yaşama ortamlarını birbirine bağlayan, sosyal dokudan yoksun bir çocukluk dünyasına karşı insani, sosyal ve kültürel yaklaşım hedefi öngörmekle yükümlüdür İNSAN. Varlığın sorumluluğunu taşıyan İNSAN, dünyayı güzelleştirmekle de yükümlüdür. Çünkü, İNSAN, dünyayı güzelleştirmekten ve ÇOCUK’tan yana taraf olmakla da yükümlüdür.</w:t>
      </w:r>
    </w:p>
    <w:p w:rsidR="009610AB" w:rsidRDefault="004065B6" w:rsidP="004065B6">
      <w:pPr>
        <w:pStyle w:val="NormalWeb"/>
        <w:spacing w:before="0" w:beforeAutospacing="0" w:after="120" w:afterAutospacing="0" w:line="210" w:lineRule="atLeast"/>
        <w:ind w:firstLine="709"/>
        <w:jc w:val="both"/>
        <w:rPr>
          <w:b/>
          <w:color w:val="000000"/>
          <w:sz w:val="20"/>
          <w:szCs w:val="17"/>
        </w:rPr>
      </w:pPr>
      <w:r w:rsidRPr="004065B6">
        <w:rPr>
          <w:color w:val="000000"/>
          <w:sz w:val="20"/>
          <w:szCs w:val="17"/>
        </w:rPr>
        <w:t>ÇOCUK konusu en geniş anlamına medeniyet evreninde kavuşur. Her medeniyet ÇOCUK’la yenilenir. Medeniyet ise varoluşunu eğitimle gerçekleştirir. Medeniyetimizin temel varoluş gerekçesi güzellik, doğruluk, erdem, adalet ve iyilik ilkelerine dayanır. Medeniyetin güzellik fikrini sanatlar ve estetik; doğruluk fikrini inançlar felsefe düşünce ve bilim, iyilik fikrini ise ahlâk sağlar. Analizci değil sentezcidir medeniyetimiz: Bilge şari Sezai Karakoç’un vurgusuyla, hayatın her safhasında duygularımız, düşüncelerimiz ve davranışlarımızla karşılaştığımız bütüncül bir olaydır medeniyet. İnsan bir medeniyet içinde insanlaşabilir. Ve insanın insanlaşması ancak insanla mümkün olabilir.</w:t>
      </w:r>
    </w:p>
    <w:p w:rsidR="009610AB" w:rsidRDefault="009610AB" w:rsidP="009610AB">
      <w:pPr>
        <w:pStyle w:val="NormalWeb"/>
        <w:spacing w:before="0" w:beforeAutospacing="0" w:after="120" w:afterAutospacing="0" w:line="210" w:lineRule="atLeast"/>
        <w:jc w:val="center"/>
        <w:rPr>
          <w:b/>
          <w:color w:val="000000"/>
          <w:sz w:val="20"/>
          <w:szCs w:val="17"/>
        </w:rPr>
      </w:pPr>
      <w:r w:rsidRPr="007241DA">
        <w:rPr>
          <w:b/>
          <w:color w:val="000000"/>
          <w:sz w:val="22"/>
          <w:szCs w:val="17"/>
        </w:rPr>
        <w:t>YÖNTEM</w:t>
      </w:r>
    </w:p>
    <w:p w:rsidR="004065B6" w:rsidRPr="004065B6" w:rsidRDefault="004065B6" w:rsidP="004065B6">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Çocuk, insan neslinin biricik anlamlandırma konusudur. Çocukla ilgili anlamlandırma tarihi, kültürel ve felsefi anlamda sorunludur. Anlamlandırmanın farklı olma nedeni ise medeniyet ve kültür farklılığıdır.</w:t>
      </w:r>
    </w:p>
    <w:p w:rsidR="004065B6" w:rsidRPr="004065B6" w:rsidRDefault="004065B6" w:rsidP="004065B6">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Modernleşme döneminde çocuk, dört gelişme evreleri içinde değerlendirilir: Doğumdan iki yaşına kadar duygu devinim evresi, bir. İki yaşından yedi yaş arası işlem öncesi evre, iki. Yedi ile on bir yaş arası somut işlem evresi, üç. On bir yaş sonrası soyut işlem evresi, dört. 20. yüzyılda genel bir yaklaşımla çocuk bir yandan biyolojik sürece dayalı anlamlandırma, diğer yandan çocuk gelişiminin belirlenebilir bazı kesin dönemler aracılığıyla gerçekleşmesi yönünde değerlendirildi. Çocuğa ilişkin kuramların hiç birinin birbirine üstünlüğü olmadığı da bilinmektedir artık. Çocuğun, insanlığın bütün tarihini tekrar ettiği ve gelişimi boyunca insanlığın gelişim süreçlerini tekrarladığı hususu da ortak kabullerden biri olmuştur. Hiç şüphe yok ki son çocuk doğuncaya kadar çocuk anlayışlarındaki farklılıklar varolmayı sürdürecektir.Bu yönü ile çocuk konusu özel bir sorun olmaya da devam edecektir.</w:t>
      </w:r>
    </w:p>
    <w:p w:rsidR="004065B6" w:rsidRPr="004065B6" w:rsidRDefault="004065B6" w:rsidP="004065B6">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Yeni ve evrilen dünyada çocuk ve çocukluk kuşatma altındadır. Çocukla ilgili görevlerini çok farklı uzmanlıklara devretmiş durumda olan aile, çocukla üretim dışı zamanlarda ilgilenmektedir. Bu nedenle, çocuk, modern dünyada çok yönlü bir kategoridir. Çocuğun kendini güvende hissettiği ve her yaştan bireyin bir arada bulunduğu geleneksel aile de dönüşmektedir.</w:t>
      </w:r>
    </w:p>
    <w:p w:rsidR="004065B6" w:rsidRPr="004065B6" w:rsidRDefault="004065B6" w:rsidP="004065B6">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Özel ve serbest mekân arasında kişi ve toplum yanında, ailenin bütün yaşama ortamlarını birbirine bağlayan, sosyal dokudan yoksun bir çocukluk dünyasına karşı insani, sosyal ve kültürel yaklaşım hedefi öngörmekle yükümlüdür İNSAN. Varlığın sorumluluğunu taşıyan İNSAN, dünyayı güzelleştirmekle de yükümlüdür. Çünkü, İNSAN, dünyayı güzelleştirmekten ve ÇOCUK’tan yana taraf olmakla da yükümlüdür.</w:t>
      </w:r>
    </w:p>
    <w:p w:rsidR="0026185A" w:rsidRDefault="004065B6" w:rsidP="004065B6">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ÇOCUK konusu en geniş anlamına medeniyet evreninde kavuşur. Her medeniyet ÇOCUK’la yenilenir. Medeniyet ise varoluşunu eğitimle gerçekleştirir. Medeniyetimizin temel varoluş gerekçesi güzellik, doğruluk, erdem, adalet ve iyilik ilkelerine dayanır. Medeniyetin güzellik fikrini sanatlar ve estetik; doğruluk fikrini inançlar felsefe düşünce ve bilim, iyilik fikrini ise ahlâk sağlar. Analizci değil sentezcidir medeniyetimiz: Bilge şari Sezai Karakoç’un vurgusuyla, hayatın her safhasında duygularımız, düşüncelerimiz ve davranışlarımızla karşılaştığımız bütüncül bir olaydır medeniyet. İnsan bir medeniyet içinde insanlaşabilir. Ve insanın insanlaşması ancak insanla mümkün olabilir.</w:t>
      </w:r>
    </w:p>
    <w:p w:rsidR="00330D5D" w:rsidRDefault="00330D5D">
      <w:pPr>
        <w:rPr>
          <w:rFonts w:ascii="Times New Roman" w:eastAsia="Times New Roman" w:hAnsi="Times New Roman" w:cs="Times New Roman"/>
          <w:b/>
          <w:color w:val="000000"/>
          <w:szCs w:val="17"/>
          <w:lang w:eastAsia="tr-TR"/>
        </w:rPr>
      </w:pPr>
      <w:r>
        <w:rPr>
          <w:b/>
          <w:color w:val="000000"/>
          <w:szCs w:val="17"/>
        </w:rPr>
        <w:br w:type="page"/>
      </w:r>
    </w:p>
    <w:p w:rsidR="00BC6C30" w:rsidRDefault="00BC6C30" w:rsidP="00BC6C30">
      <w:pPr>
        <w:pStyle w:val="NormalWeb"/>
        <w:spacing w:before="0" w:beforeAutospacing="0" w:after="120" w:afterAutospacing="0" w:line="210" w:lineRule="atLeast"/>
        <w:jc w:val="center"/>
        <w:rPr>
          <w:b/>
          <w:color w:val="000000"/>
          <w:sz w:val="20"/>
          <w:szCs w:val="17"/>
        </w:rPr>
      </w:pPr>
      <w:r>
        <w:rPr>
          <w:b/>
          <w:color w:val="000000"/>
          <w:sz w:val="22"/>
          <w:szCs w:val="17"/>
        </w:rPr>
        <w:lastRenderedPageBreak/>
        <w:t>BULGULAR</w:t>
      </w:r>
    </w:p>
    <w:p w:rsidR="00BC6C30" w:rsidRPr="004065B6" w:rsidRDefault="00BC6C30" w:rsidP="00BC6C30">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Çocuk, insan neslinin biricik anlamlandırma konusudur. Çocukla ilgili anlamlandırma tarihi, kültürel ve felsefi anlamda sorunludur. Anlamlandırmanın farklı olma nedeni ise medeniyet ve kültür farklılığıdır.</w:t>
      </w:r>
    </w:p>
    <w:p w:rsidR="00BC6C30" w:rsidRDefault="00BC6C30" w:rsidP="00BC6C30">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Modernleşme döneminde çocuk, dört gelişme evreleri içinde değerlendirilir: Doğumdan iki yaşına kadar duygu devinim evresi, bir. İki yaşından yedi yaş arası işlem öncesi evre, iki. Yedi ile on bir yaş arası somut işlem evresi, üç. On bir yaş sonrası soyut işlem evresi, dört. 20. yüzyılda genel bir yaklaşımla çocuk bir yandan biyolojik sürece dayalı anlamlandırma, diğer yandan çocuk gelişiminin belirlenebilir bazı kesin dönemler aracılığıyla gerçekleşmesi yönünde değerlendirildi. Çocuğa ilişkin kuramların hiç birinin birbirine üstünlüğü olmadığı da bilinmektedir artık. Çocuğun, insanlığın bütün tarihini tekrar ettiği ve gelişimi boyunca insanlığın gelişim süreçlerini tekrarladığı hususu da ortak kabullerden biri olmuştur. Hiç şüphe yok ki son çocuk doğuncaya kadar çocuk anlayışlarındaki farklılıklar varolmayı sürdürecektir.Bu yönü ile çocuk konusu özel bir sorun olmaya da devam edecektir.</w:t>
      </w:r>
    </w:p>
    <w:p w:rsidR="00330D5D" w:rsidRDefault="00330D5D" w:rsidP="00330D5D">
      <w:pPr>
        <w:pStyle w:val="NormalWeb"/>
        <w:spacing w:before="0" w:beforeAutospacing="0" w:after="0" w:afterAutospacing="0" w:line="210" w:lineRule="atLeast"/>
        <w:jc w:val="center"/>
        <w:rPr>
          <w:color w:val="000000"/>
          <w:sz w:val="20"/>
          <w:szCs w:val="17"/>
        </w:rPr>
      </w:pPr>
      <w:r>
        <w:rPr>
          <w:b/>
          <w:color w:val="000000"/>
          <w:sz w:val="20"/>
          <w:szCs w:val="17"/>
        </w:rPr>
        <w:t xml:space="preserve">Tablo 1. </w:t>
      </w:r>
      <w:r w:rsidRPr="004065B6">
        <w:rPr>
          <w:color w:val="000000"/>
          <w:sz w:val="20"/>
          <w:szCs w:val="17"/>
        </w:rPr>
        <w:t xml:space="preserve">Çocukla </w:t>
      </w:r>
      <w:r>
        <w:rPr>
          <w:color w:val="000000"/>
          <w:sz w:val="20"/>
          <w:szCs w:val="17"/>
        </w:rPr>
        <w:t>İ</w:t>
      </w:r>
      <w:r w:rsidRPr="004065B6">
        <w:rPr>
          <w:color w:val="000000"/>
          <w:sz w:val="20"/>
          <w:szCs w:val="17"/>
        </w:rPr>
        <w:t xml:space="preserve">lgili </w:t>
      </w:r>
      <w:r>
        <w:rPr>
          <w:color w:val="000000"/>
          <w:sz w:val="20"/>
          <w:szCs w:val="17"/>
        </w:rPr>
        <w:t>A</w:t>
      </w:r>
      <w:r w:rsidRPr="004065B6">
        <w:rPr>
          <w:color w:val="000000"/>
          <w:sz w:val="20"/>
          <w:szCs w:val="17"/>
        </w:rPr>
        <w:t xml:space="preserve">lamlandırma </w:t>
      </w:r>
      <w:r>
        <w:rPr>
          <w:color w:val="000000"/>
          <w:sz w:val="20"/>
          <w:szCs w:val="17"/>
        </w:rPr>
        <w:t>T</w:t>
      </w:r>
      <w:r w:rsidRPr="004065B6">
        <w:rPr>
          <w:color w:val="000000"/>
          <w:sz w:val="20"/>
          <w:szCs w:val="17"/>
        </w:rPr>
        <w:t>arihi</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
        <w:gridCol w:w="761"/>
        <w:gridCol w:w="761"/>
        <w:gridCol w:w="761"/>
        <w:gridCol w:w="767"/>
      </w:tblGrid>
      <w:tr w:rsidR="00330D5D" w:rsidTr="00330D5D">
        <w:trPr>
          <w:trHeight w:val="170"/>
          <w:jc w:val="center"/>
        </w:trPr>
        <w:tc>
          <w:tcPr>
            <w:tcW w:w="723" w:type="dxa"/>
            <w:tcBorders>
              <w:top w:val="single" w:sz="4" w:space="0" w:color="auto"/>
              <w:bottom w:val="single" w:sz="4" w:space="0" w:color="auto"/>
            </w:tcBorders>
            <w:vAlign w:val="center"/>
          </w:tcPr>
          <w:p w:rsidR="00330D5D" w:rsidRPr="00330D5D" w:rsidRDefault="00330D5D" w:rsidP="00330D5D">
            <w:pPr>
              <w:pStyle w:val="NormalWeb"/>
              <w:spacing w:before="0" w:beforeAutospacing="0" w:after="0" w:afterAutospacing="0" w:line="210" w:lineRule="atLeast"/>
              <w:rPr>
                <w:b/>
                <w:color w:val="000000"/>
                <w:sz w:val="20"/>
                <w:szCs w:val="17"/>
              </w:rPr>
            </w:pPr>
            <w:r w:rsidRPr="00330D5D">
              <w:rPr>
                <w:b/>
                <w:color w:val="000000"/>
                <w:sz w:val="20"/>
                <w:szCs w:val="17"/>
              </w:rPr>
              <w:t>Grup</w:t>
            </w:r>
          </w:p>
        </w:tc>
        <w:tc>
          <w:tcPr>
            <w:tcW w:w="761" w:type="dxa"/>
            <w:tcBorders>
              <w:top w:val="single" w:sz="4" w:space="0" w:color="auto"/>
              <w:bottom w:val="single" w:sz="4" w:space="0" w:color="auto"/>
            </w:tcBorders>
          </w:tcPr>
          <w:p w:rsidR="00330D5D" w:rsidRPr="00330D5D" w:rsidRDefault="00330D5D" w:rsidP="00330D5D">
            <w:pPr>
              <w:pStyle w:val="NormalWeb"/>
              <w:spacing w:before="0" w:beforeAutospacing="0" w:after="0" w:afterAutospacing="0" w:line="210" w:lineRule="atLeast"/>
              <w:jc w:val="center"/>
              <w:rPr>
                <w:b/>
                <w:color w:val="000000"/>
                <w:sz w:val="20"/>
                <w:szCs w:val="17"/>
              </w:rPr>
            </w:pPr>
            <w:r w:rsidRPr="00330D5D">
              <w:rPr>
                <w:b/>
                <w:color w:val="000000"/>
                <w:sz w:val="20"/>
                <w:szCs w:val="17"/>
              </w:rPr>
              <w:t>Değer 1</w:t>
            </w:r>
          </w:p>
        </w:tc>
        <w:tc>
          <w:tcPr>
            <w:tcW w:w="761" w:type="dxa"/>
            <w:tcBorders>
              <w:top w:val="single" w:sz="4" w:space="0" w:color="auto"/>
              <w:bottom w:val="single" w:sz="4" w:space="0" w:color="auto"/>
            </w:tcBorders>
          </w:tcPr>
          <w:p w:rsidR="00330D5D" w:rsidRPr="00330D5D" w:rsidRDefault="00330D5D" w:rsidP="00330D5D">
            <w:pPr>
              <w:pStyle w:val="NormalWeb"/>
              <w:spacing w:before="0" w:beforeAutospacing="0" w:after="0" w:afterAutospacing="0" w:line="210" w:lineRule="atLeast"/>
              <w:jc w:val="center"/>
              <w:rPr>
                <w:b/>
                <w:color w:val="000000"/>
                <w:sz w:val="20"/>
                <w:szCs w:val="17"/>
              </w:rPr>
            </w:pPr>
            <w:r w:rsidRPr="00330D5D">
              <w:rPr>
                <w:b/>
                <w:color w:val="000000"/>
                <w:sz w:val="20"/>
                <w:szCs w:val="17"/>
              </w:rPr>
              <w:t>Değer 2</w:t>
            </w:r>
          </w:p>
        </w:tc>
        <w:tc>
          <w:tcPr>
            <w:tcW w:w="761" w:type="dxa"/>
            <w:tcBorders>
              <w:top w:val="single" w:sz="4" w:space="0" w:color="auto"/>
              <w:bottom w:val="single" w:sz="4" w:space="0" w:color="auto"/>
            </w:tcBorders>
          </w:tcPr>
          <w:p w:rsidR="00330D5D" w:rsidRPr="00330D5D" w:rsidRDefault="00330D5D" w:rsidP="00330D5D">
            <w:pPr>
              <w:pStyle w:val="NormalWeb"/>
              <w:spacing w:before="0" w:beforeAutospacing="0" w:after="0" w:afterAutospacing="0" w:line="210" w:lineRule="atLeast"/>
              <w:jc w:val="center"/>
              <w:rPr>
                <w:b/>
                <w:color w:val="000000"/>
                <w:sz w:val="20"/>
                <w:szCs w:val="17"/>
              </w:rPr>
            </w:pPr>
            <w:r w:rsidRPr="00330D5D">
              <w:rPr>
                <w:b/>
                <w:color w:val="000000"/>
                <w:sz w:val="20"/>
                <w:szCs w:val="17"/>
              </w:rPr>
              <w:t>Değer 3</w:t>
            </w:r>
          </w:p>
        </w:tc>
        <w:tc>
          <w:tcPr>
            <w:tcW w:w="767" w:type="dxa"/>
            <w:tcBorders>
              <w:top w:val="single" w:sz="4" w:space="0" w:color="auto"/>
              <w:bottom w:val="single" w:sz="4" w:space="0" w:color="auto"/>
            </w:tcBorders>
          </w:tcPr>
          <w:p w:rsidR="00330D5D" w:rsidRPr="00330D5D" w:rsidRDefault="00330D5D" w:rsidP="00330D5D">
            <w:pPr>
              <w:pStyle w:val="NormalWeb"/>
              <w:spacing w:before="0" w:beforeAutospacing="0" w:after="0" w:afterAutospacing="0" w:line="210" w:lineRule="atLeast"/>
              <w:jc w:val="center"/>
              <w:rPr>
                <w:b/>
                <w:color w:val="000000"/>
                <w:sz w:val="20"/>
                <w:szCs w:val="17"/>
              </w:rPr>
            </w:pPr>
            <w:r w:rsidRPr="00330D5D">
              <w:rPr>
                <w:b/>
                <w:color w:val="000000"/>
                <w:sz w:val="20"/>
                <w:szCs w:val="17"/>
              </w:rPr>
              <w:t>Toplam</w:t>
            </w:r>
          </w:p>
        </w:tc>
      </w:tr>
      <w:tr w:rsidR="00330D5D" w:rsidTr="00330D5D">
        <w:trPr>
          <w:trHeight w:val="170"/>
          <w:jc w:val="center"/>
        </w:trPr>
        <w:tc>
          <w:tcPr>
            <w:tcW w:w="723" w:type="dxa"/>
            <w:tcBorders>
              <w:top w:val="single" w:sz="4" w:space="0" w:color="auto"/>
            </w:tcBorders>
            <w:vAlign w:val="center"/>
          </w:tcPr>
          <w:p w:rsidR="00330D5D" w:rsidRDefault="00330D5D" w:rsidP="00330D5D">
            <w:pPr>
              <w:pStyle w:val="NormalWeb"/>
              <w:spacing w:before="0" w:beforeAutospacing="0" w:after="0" w:afterAutospacing="0" w:line="210" w:lineRule="atLeast"/>
              <w:rPr>
                <w:color w:val="000000"/>
                <w:sz w:val="20"/>
                <w:szCs w:val="17"/>
              </w:rPr>
            </w:pPr>
            <w:r>
              <w:rPr>
                <w:color w:val="000000"/>
                <w:sz w:val="20"/>
                <w:szCs w:val="17"/>
              </w:rPr>
              <w:t>Çocuk</w:t>
            </w:r>
          </w:p>
        </w:tc>
        <w:tc>
          <w:tcPr>
            <w:tcW w:w="761" w:type="dxa"/>
            <w:tcBorders>
              <w:top w:val="single" w:sz="4" w:space="0" w:color="auto"/>
            </w:tcBorders>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1</w:t>
            </w:r>
          </w:p>
        </w:tc>
        <w:tc>
          <w:tcPr>
            <w:tcW w:w="761" w:type="dxa"/>
            <w:tcBorders>
              <w:top w:val="single" w:sz="4" w:space="0" w:color="auto"/>
            </w:tcBorders>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2</w:t>
            </w:r>
          </w:p>
        </w:tc>
        <w:tc>
          <w:tcPr>
            <w:tcW w:w="761" w:type="dxa"/>
            <w:tcBorders>
              <w:top w:val="single" w:sz="4" w:space="0" w:color="auto"/>
            </w:tcBorders>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3</w:t>
            </w:r>
          </w:p>
        </w:tc>
        <w:tc>
          <w:tcPr>
            <w:tcW w:w="767" w:type="dxa"/>
            <w:tcBorders>
              <w:top w:val="single" w:sz="4" w:space="0" w:color="auto"/>
            </w:tcBorders>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6</w:t>
            </w:r>
          </w:p>
        </w:tc>
      </w:tr>
      <w:tr w:rsidR="00330D5D" w:rsidTr="00330D5D">
        <w:trPr>
          <w:trHeight w:val="170"/>
          <w:jc w:val="center"/>
        </w:trPr>
        <w:tc>
          <w:tcPr>
            <w:tcW w:w="723" w:type="dxa"/>
            <w:vAlign w:val="center"/>
          </w:tcPr>
          <w:p w:rsidR="00330D5D" w:rsidRDefault="00330D5D" w:rsidP="00330D5D">
            <w:pPr>
              <w:pStyle w:val="NormalWeb"/>
              <w:spacing w:before="0" w:beforeAutospacing="0" w:after="0" w:afterAutospacing="0" w:line="210" w:lineRule="atLeast"/>
              <w:rPr>
                <w:color w:val="000000"/>
                <w:sz w:val="20"/>
                <w:szCs w:val="17"/>
              </w:rPr>
            </w:pPr>
            <w:r>
              <w:rPr>
                <w:color w:val="000000"/>
                <w:sz w:val="20"/>
                <w:szCs w:val="17"/>
              </w:rPr>
              <w:t>Aile</w:t>
            </w:r>
          </w:p>
        </w:tc>
        <w:tc>
          <w:tcPr>
            <w:tcW w:w="761" w:type="dxa"/>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4</w:t>
            </w:r>
          </w:p>
        </w:tc>
        <w:tc>
          <w:tcPr>
            <w:tcW w:w="761" w:type="dxa"/>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5</w:t>
            </w:r>
          </w:p>
        </w:tc>
        <w:tc>
          <w:tcPr>
            <w:tcW w:w="761" w:type="dxa"/>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6</w:t>
            </w:r>
          </w:p>
        </w:tc>
        <w:tc>
          <w:tcPr>
            <w:tcW w:w="767" w:type="dxa"/>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15</w:t>
            </w:r>
          </w:p>
        </w:tc>
      </w:tr>
      <w:tr w:rsidR="00330D5D" w:rsidTr="00330D5D">
        <w:trPr>
          <w:trHeight w:val="170"/>
          <w:jc w:val="center"/>
        </w:trPr>
        <w:tc>
          <w:tcPr>
            <w:tcW w:w="723" w:type="dxa"/>
            <w:vAlign w:val="center"/>
          </w:tcPr>
          <w:p w:rsidR="00330D5D" w:rsidRDefault="00330D5D" w:rsidP="00330D5D">
            <w:pPr>
              <w:pStyle w:val="NormalWeb"/>
              <w:spacing w:before="0" w:beforeAutospacing="0" w:after="0" w:afterAutospacing="0" w:line="210" w:lineRule="atLeast"/>
              <w:rPr>
                <w:color w:val="000000"/>
                <w:sz w:val="20"/>
                <w:szCs w:val="17"/>
              </w:rPr>
            </w:pPr>
            <w:r>
              <w:rPr>
                <w:color w:val="000000"/>
                <w:sz w:val="20"/>
                <w:szCs w:val="17"/>
              </w:rPr>
              <w:t>Okul</w:t>
            </w:r>
          </w:p>
        </w:tc>
        <w:tc>
          <w:tcPr>
            <w:tcW w:w="761" w:type="dxa"/>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7</w:t>
            </w:r>
          </w:p>
        </w:tc>
        <w:tc>
          <w:tcPr>
            <w:tcW w:w="761" w:type="dxa"/>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8</w:t>
            </w:r>
          </w:p>
        </w:tc>
        <w:tc>
          <w:tcPr>
            <w:tcW w:w="761" w:type="dxa"/>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9</w:t>
            </w:r>
          </w:p>
        </w:tc>
        <w:tc>
          <w:tcPr>
            <w:tcW w:w="767" w:type="dxa"/>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24</w:t>
            </w:r>
          </w:p>
        </w:tc>
      </w:tr>
      <w:tr w:rsidR="00330D5D" w:rsidTr="00330D5D">
        <w:trPr>
          <w:trHeight w:val="170"/>
          <w:jc w:val="center"/>
        </w:trPr>
        <w:tc>
          <w:tcPr>
            <w:tcW w:w="723" w:type="dxa"/>
            <w:tcBorders>
              <w:bottom w:val="single" w:sz="4" w:space="0" w:color="auto"/>
            </w:tcBorders>
            <w:vAlign w:val="center"/>
          </w:tcPr>
          <w:p w:rsidR="00330D5D" w:rsidRDefault="00330D5D" w:rsidP="00330D5D">
            <w:pPr>
              <w:pStyle w:val="NormalWeb"/>
              <w:spacing w:before="0" w:beforeAutospacing="0" w:after="0" w:afterAutospacing="0" w:line="210" w:lineRule="atLeast"/>
              <w:rPr>
                <w:color w:val="000000"/>
                <w:sz w:val="20"/>
                <w:szCs w:val="17"/>
              </w:rPr>
            </w:pPr>
            <w:r>
              <w:rPr>
                <w:color w:val="000000"/>
                <w:sz w:val="20"/>
                <w:szCs w:val="17"/>
              </w:rPr>
              <w:t>Toplam</w:t>
            </w:r>
          </w:p>
        </w:tc>
        <w:tc>
          <w:tcPr>
            <w:tcW w:w="761" w:type="dxa"/>
            <w:tcBorders>
              <w:bottom w:val="single" w:sz="4" w:space="0" w:color="auto"/>
            </w:tcBorders>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12</w:t>
            </w:r>
          </w:p>
        </w:tc>
        <w:tc>
          <w:tcPr>
            <w:tcW w:w="761" w:type="dxa"/>
            <w:tcBorders>
              <w:bottom w:val="single" w:sz="4" w:space="0" w:color="auto"/>
            </w:tcBorders>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15</w:t>
            </w:r>
          </w:p>
        </w:tc>
        <w:tc>
          <w:tcPr>
            <w:tcW w:w="761" w:type="dxa"/>
            <w:tcBorders>
              <w:bottom w:val="single" w:sz="4" w:space="0" w:color="auto"/>
            </w:tcBorders>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18</w:t>
            </w:r>
          </w:p>
        </w:tc>
        <w:tc>
          <w:tcPr>
            <w:tcW w:w="767" w:type="dxa"/>
            <w:tcBorders>
              <w:bottom w:val="single" w:sz="4" w:space="0" w:color="auto"/>
            </w:tcBorders>
          </w:tcPr>
          <w:p w:rsidR="00330D5D" w:rsidRDefault="00330D5D" w:rsidP="00330D5D">
            <w:pPr>
              <w:pStyle w:val="NormalWeb"/>
              <w:spacing w:before="0" w:beforeAutospacing="0" w:after="0" w:afterAutospacing="0" w:line="210" w:lineRule="atLeast"/>
              <w:jc w:val="center"/>
              <w:rPr>
                <w:color w:val="000000"/>
                <w:sz w:val="20"/>
                <w:szCs w:val="17"/>
              </w:rPr>
            </w:pPr>
            <w:r>
              <w:rPr>
                <w:color w:val="000000"/>
                <w:sz w:val="20"/>
                <w:szCs w:val="17"/>
              </w:rPr>
              <w:t>45</w:t>
            </w:r>
          </w:p>
        </w:tc>
      </w:tr>
    </w:tbl>
    <w:p w:rsidR="00BC6C30" w:rsidRDefault="00BC6C30" w:rsidP="00330D5D">
      <w:pPr>
        <w:pStyle w:val="NormalWeb"/>
        <w:spacing w:before="120" w:beforeAutospacing="0" w:after="120" w:afterAutospacing="0" w:line="210" w:lineRule="atLeast"/>
        <w:ind w:firstLine="709"/>
        <w:jc w:val="both"/>
        <w:rPr>
          <w:color w:val="000000"/>
          <w:sz w:val="20"/>
          <w:szCs w:val="17"/>
        </w:rPr>
      </w:pPr>
      <w:r w:rsidRPr="004065B6">
        <w:rPr>
          <w:color w:val="000000"/>
          <w:sz w:val="20"/>
          <w:szCs w:val="17"/>
        </w:rPr>
        <w:t>Yeni ve evrilen dünyada çocuk ve çocukluk kuşatma altındadır. Çocukla ilgili görevlerini çok farklı uzmanlıklara devretmiş durumda olan aile, çocukla üretim dışı zamanlarda ilgilenmektedir. Bu nedenle, çocuk, modern dünyada çok yönlü bir kategoridir. Çocuğun kendini güvende hissettiği ve her yaştan bireyin bir arada bulunduğu geleneksel aile de dönüşmektedir.</w:t>
      </w:r>
    </w:p>
    <w:p w:rsidR="00047B93" w:rsidRDefault="002D6D16" w:rsidP="00047B93">
      <w:pPr>
        <w:pStyle w:val="NormalWeb"/>
        <w:spacing w:before="120" w:beforeAutospacing="0" w:after="0" w:afterAutospacing="0" w:line="210" w:lineRule="atLeast"/>
        <w:jc w:val="center"/>
        <w:rPr>
          <w:color w:val="000000"/>
          <w:sz w:val="20"/>
          <w:szCs w:val="1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4.05pt;margin-top:16.1pt;width:265.45pt;height:183.75pt;z-index:251659264;mso-position-horizontal-relative:text;mso-position-vertical-relative:text;mso-width-relative:page;mso-height-relative:page">
            <v:imagedata r:id="rId7" o:title="sekil"/>
            <w10:wrap type="topAndBottom"/>
          </v:shape>
        </w:pict>
      </w:r>
      <w:r w:rsidR="00047B93">
        <w:rPr>
          <w:b/>
          <w:color w:val="000000"/>
          <w:sz w:val="20"/>
          <w:szCs w:val="17"/>
        </w:rPr>
        <w:t xml:space="preserve">Şekil 1. </w:t>
      </w:r>
      <w:r w:rsidR="00047B93">
        <w:rPr>
          <w:color w:val="000000"/>
          <w:sz w:val="20"/>
          <w:szCs w:val="17"/>
        </w:rPr>
        <w:t>Çocuk</w:t>
      </w:r>
      <w:r w:rsidR="000852C5">
        <w:rPr>
          <w:color w:val="000000"/>
          <w:sz w:val="20"/>
          <w:szCs w:val="17"/>
        </w:rPr>
        <w:t xml:space="preserve"> Vakfı Katılanlar</w:t>
      </w:r>
    </w:p>
    <w:p w:rsidR="00BC6C30" w:rsidRPr="004065B6" w:rsidRDefault="00BC6C30" w:rsidP="00047B93">
      <w:pPr>
        <w:pStyle w:val="NormalWeb"/>
        <w:spacing w:before="120" w:beforeAutospacing="0" w:after="120" w:afterAutospacing="0" w:line="210" w:lineRule="atLeast"/>
        <w:ind w:firstLine="709"/>
        <w:jc w:val="both"/>
        <w:rPr>
          <w:color w:val="000000"/>
          <w:sz w:val="20"/>
          <w:szCs w:val="17"/>
        </w:rPr>
      </w:pPr>
      <w:r w:rsidRPr="004065B6">
        <w:rPr>
          <w:color w:val="000000"/>
          <w:sz w:val="20"/>
          <w:szCs w:val="17"/>
        </w:rPr>
        <w:t>Özel ve serbest mekân arasında kişi ve toplum yanında, ailenin bütün yaşama ortamlarını birbirine bağlayan, sosyal dokudan yoksun bir çocukluk dünyasına karşı insani, sosyal ve kültürel yaklaşım hedefi öngörmekle yükümlüdür İNSAN. Varlığın sorumluluğunu taşıyan İNSAN, dünyayı güzelleştirmekle de yükümlüdür. Çünkü, İNSAN, dünyayı güzelleştirmekten ve ÇOCUK’tan yana taraf olmakla da yükümlüdür.</w:t>
      </w:r>
    </w:p>
    <w:p w:rsidR="00BC6C30" w:rsidRDefault="00BC6C30" w:rsidP="00155D4A">
      <w:pPr>
        <w:pStyle w:val="NormalWeb"/>
        <w:spacing w:before="0" w:beforeAutospacing="0" w:after="120" w:afterAutospacing="0" w:line="210" w:lineRule="atLeast"/>
        <w:ind w:firstLine="708"/>
        <w:jc w:val="both"/>
        <w:rPr>
          <w:color w:val="000000"/>
          <w:sz w:val="20"/>
          <w:szCs w:val="17"/>
        </w:rPr>
      </w:pPr>
      <w:r w:rsidRPr="004065B6">
        <w:rPr>
          <w:color w:val="000000"/>
          <w:sz w:val="20"/>
          <w:szCs w:val="17"/>
        </w:rPr>
        <w:t>ÇOCUK konusu en geniş anlamına medeniyet evreninde kavuşur. Her medeniyet ÇOCUK’la yenilenir. Medeniyet ise varoluşunu eğitimle gerçekleştirir. Medeniyetimizin temel varoluş gerekçesi güzellik, doğruluk, erdem, adalet ve iyilik ilkelerine dayanır. Medeniyetin güzellik fikrini sanatlar ve estetik; doğruluk fikrini inançlar felsefe düşünce ve bilim, iyilik fikrini ise ahlâk sağlar. Analizci değil sentezcidir medeniyetimiz: Bilge şari Sezai Karakoç’un vurgusuyla, hayatın her safhasında duygularımız, düşüncelerimiz ve davranışlarımızla karşılaştığımız bütüncül bir olaydır medeniyet. İnsan bir medeniyet içinde insanlaşabilir. Ve insanın insanlaşması ancak insanla mümkün olabilir.</w:t>
      </w:r>
    </w:p>
    <w:p w:rsidR="00DE2A39" w:rsidRDefault="00DE2A39">
      <w:pPr>
        <w:rPr>
          <w:rFonts w:ascii="Times New Roman" w:eastAsia="Times New Roman" w:hAnsi="Times New Roman" w:cs="Times New Roman"/>
          <w:b/>
          <w:color w:val="000000"/>
          <w:szCs w:val="17"/>
          <w:lang w:eastAsia="tr-TR"/>
        </w:rPr>
      </w:pPr>
      <w:r>
        <w:rPr>
          <w:b/>
          <w:color w:val="000000"/>
          <w:szCs w:val="17"/>
        </w:rPr>
        <w:br w:type="page"/>
      </w:r>
    </w:p>
    <w:p w:rsidR="00BC6C30" w:rsidRDefault="00BC6C30" w:rsidP="00BC6C30">
      <w:pPr>
        <w:pStyle w:val="NormalWeb"/>
        <w:spacing w:before="0" w:beforeAutospacing="0" w:after="120" w:afterAutospacing="0" w:line="210" w:lineRule="atLeast"/>
        <w:jc w:val="center"/>
        <w:rPr>
          <w:b/>
          <w:color w:val="000000"/>
          <w:sz w:val="20"/>
          <w:szCs w:val="17"/>
        </w:rPr>
      </w:pPr>
      <w:r>
        <w:rPr>
          <w:b/>
          <w:color w:val="000000"/>
          <w:sz w:val="22"/>
          <w:szCs w:val="17"/>
        </w:rPr>
        <w:lastRenderedPageBreak/>
        <w:t>SONUÇ</w:t>
      </w:r>
    </w:p>
    <w:p w:rsidR="00BC6C30" w:rsidRPr="004065B6" w:rsidRDefault="00BC6C30" w:rsidP="00BC6C30">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Çocuk, insan neslinin biricik anlamlandırma konusudur. Çocukla ilgili anlamlandırma tarihi, kültürel ve felsefi anlamda sorunludur. Anlamlandırmanın farklı olma nedeni ise medeniyet ve kültür farklılığıdır.</w:t>
      </w:r>
    </w:p>
    <w:p w:rsidR="00BC6C30" w:rsidRPr="004065B6" w:rsidRDefault="00BC6C30" w:rsidP="00BC6C30">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Modernleşme döneminde çocuk, dört gelişme evreleri içinde değerlendirilir: Doğumdan iki yaşına kadar duygu devinim evresi, bir. İki yaşından yedi yaş arası işlem öncesi evre, iki. Yedi ile on bir yaş arası somut işlem evresi, üç. On bir yaş sonrası soyut işlem evresi, dört. 20. yüzyılda genel bir yaklaşımla çocuk bir yandan biyolojik sürece dayalı anlamlandırma, diğer yandan çocuk gelişiminin belirlenebilir bazı kesin dönemler aracılığıyla gerçekleşmesi yönünde değerlendirildi. Çocuğa ilişkin kuramların hiç birinin birbirine üstünlüğü olmadığı da bilinmektedir artık. Çocuğun, insanlığın bütün tarihini tekrar ettiği ve gelişimi boyunca insanlığın gelişim süreçlerini tekrarladığı hususu da ortak kabullerden biri olmuştur. Hiç şüphe yok ki son çocuk doğuncaya kadar çocuk anlayışlarındaki farklılıklar varolmayı sürdürecektir.Bu yönü ile çocuk konusu özel bir sorun olmaya da devam edecektir.</w:t>
      </w:r>
    </w:p>
    <w:p w:rsidR="00BC6C30" w:rsidRPr="004065B6" w:rsidRDefault="00BC6C30" w:rsidP="00BC6C30">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Yeni ve evrilen dünyada çocuk ve çocukluk kuşatma altındadır. Çocukla ilgili görevlerini çok farklı uzmanlıklara devretmiş durumda olan aile, çocukla üretim dışı zamanlarda ilgilenmektedir. Bu nedenle, çocuk, modern dünyada çok yönlü bir kategoridir. Çocuğun kendini güvende hissettiği ve her yaştan bireyin bir arada bulunduğu geleneksel aile de dönüşmektedir.</w:t>
      </w:r>
    </w:p>
    <w:p w:rsidR="00BC6C30" w:rsidRPr="004065B6" w:rsidRDefault="00BC6C30" w:rsidP="00BC6C30">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Özel ve serbest mekân arasında kişi ve toplum yanında, ailenin bütün yaşama ortamlarını birbirine bağlayan, sosyal dokudan yoksun bir çocukluk dünyasına karşı insani, sosyal ve kültürel yaklaşım hedefi öngörmekle yükümlüdür İNSAN. Varlığın sorumluluğunu taşıyan İNSAN, dünyayı güzelleştirmekle de yükümlüdür. Çünkü, İNSAN, dünyayı güzelleştirmekten ve ÇOCUK’tan yana taraf olmakla da yükümlüdür.</w:t>
      </w:r>
    </w:p>
    <w:p w:rsidR="00BC6C30" w:rsidRDefault="00BC6C30" w:rsidP="00BC6C30">
      <w:pPr>
        <w:pStyle w:val="NormalWeb"/>
        <w:spacing w:before="0" w:beforeAutospacing="0" w:after="120" w:afterAutospacing="0" w:line="210" w:lineRule="atLeast"/>
        <w:jc w:val="both"/>
        <w:rPr>
          <w:color w:val="000000"/>
          <w:sz w:val="20"/>
          <w:szCs w:val="17"/>
        </w:rPr>
      </w:pPr>
      <w:r w:rsidRPr="004065B6">
        <w:rPr>
          <w:color w:val="000000"/>
          <w:sz w:val="20"/>
          <w:szCs w:val="17"/>
        </w:rPr>
        <w:t xml:space="preserve"> ÇOCUK konusu en geniş anlamına medeniyet evreninde kavuşur. Her medeniyet ÇOCUK’la yenilenir. Medeniyet ise varoluşunu eğitimle gerçekleştirir. Medeniyetimizin temel varoluş gerekçesi güzellik, doğruluk, erdem, adalet ve iyilik ilkelerine dayanır. Medeniyetin güzellik fikrini sanatlar ve estetik; doğruluk fikrini inançlar felsefe düşünce ve bilim, iyilik fikrini ise ahlâk sağlar. Analizci değil sentezcidir medeniyetimiz: Bilge şari Sezai Karakoç’un vurgusuyla, hayatın her safhasında duygularımız, düşüncelerimiz ve davranışlarımızla karşılaştığımız bütüncül bir olaydır medeniyet. İnsan bir medeniyet içinde insanlaşabilir. Ve insanın insanlaşması ancak insanla mümkün olabilir.</w:t>
      </w:r>
    </w:p>
    <w:p w:rsidR="00BC6C30" w:rsidRDefault="00BC6C30" w:rsidP="00BC6C30">
      <w:pPr>
        <w:pStyle w:val="NormalWeb"/>
        <w:spacing w:before="0" w:beforeAutospacing="0" w:after="120" w:afterAutospacing="0" w:line="210" w:lineRule="atLeast"/>
        <w:jc w:val="center"/>
        <w:rPr>
          <w:b/>
          <w:color w:val="000000"/>
          <w:sz w:val="20"/>
          <w:szCs w:val="17"/>
        </w:rPr>
      </w:pPr>
      <w:r>
        <w:rPr>
          <w:b/>
          <w:color w:val="000000"/>
          <w:sz w:val="22"/>
          <w:szCs w:val="17"/>
        </w:rPr>
        <w:t>TARTIŞMA VE ÖNERİLER</w:t>
      </w:r>
    </w:p>
    <w:p w:rsidR="00BC6C30" w:rsidRPr="004065B6" w:rsidRDefault="00BC6C30" w:rsidP="00BC6C30">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Çocuk, insan neslinin biricik anlamlandırma konusudur. Çocukla ilgili anlamlandırma tarihi, kültürel ve felsefi anlamda sorunludur. Anlamlandırmanın farklı olma nedeni ise medeniyet ve kültür farklılığıdır.</w:t>
      </w:r>
    </w:p>
    <w:p w:rsidR="00BC6C30" w:rsidRPr="004065B6" w:rsidRDefault="00BC6C30" w:rsidP="00BC6C30">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Modernleşme döneminde çocuk, dört gelişme evreleri içinde değerlendirilir: Doğumdan iki yaşına kadar duygu devinim evresi, bir. İki yaşından yedi yaş arası işlem öncesi evre, iki. Yedi ile on bir yaş arası somut işlem evresi, üç. On bir yaş sonrası soyut işlem evresi, dört. 20. yüzyılda genel bir yaklaşımla çocuk bir yandan biyolojik sürece dayalı anlamlandırma, diğer yandan çocuk gelişiminin belirlenebilir bazı kesin dönemler aracılığıyla gerçekleşmesi yönünde değerlendirildi. Çocuğa ilişkin kuramların hiç birinin birbirine üstünlüğü olmadığı da bilinmektedir artık. Çocuğun, insanlığın bütün tarihini tekrar ettiği ve gelişimi boyunca insanlığın gelişim süreçlerini tekrarladığı hususu da ortak kabullerden biri olmuştur. Hiç şüphe yok ki son çocuk doğuncaya kadar çocuk anlayışlarındaki farklılıklar varolmayı sürdürecektir.Bu yönü ile çocuk konusu özel bir sorun olmaya da devam edecektir.</w:t>
      </w:r>
    </w:p>
    <w:p w:rsidR="00BC6C30" w:rsidRPr="004065B6" w:rsidRDefault="00BC6C30" w:rsidP="00BC6C30">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Yeni ve evrilen dünyada çocuk ve çocukluk kuşatma altındadır. Çocukla ilgili görevlerini çok farklı uzmanlıklara devretmiş durumda olan aile, çocukla üretim dışı zamanlarda ilgilenmektedir. Bu nedenle, çocuk, modern dünyada çok yönlü bir kategoridir. Çocuğun kendini güvende hissettiği ve her yaştan bireyin bir arada bulunduğu geleneksel aile de dönüşmektedir.</w:t>
      </w:r>
    </w:p>
    <w:p w:rsidR="00BC6C30" w:rsidRPr="004065B6" w:rsidRDefault="00BC6C30" w:rsidP="00BC6C30">
      <w:pPr>
        <w:pStyle w:val="NormalWeb"/>
        <w:spacing w:before="0" w:beforeAutospacing="0" w:after="120" w:afterAutospacing="0" w:line="210" w:lineRule="atLeast"/>
        <w:ind w:firstLine="709"/>
        <w:jc w:val="both"/>
        <w:rPr>
          <w:color w:val="000000"/>
          <w:sz w:val="20"/>
          <w:szCs w:val="17"/>
        </w:rPr>
      </w:pPr>
      <w:r w:rsidRPr="004065B6">
        <w:rPr>
          <w:color w:val="000000"/>
          <w:sz w:val="20"/>
          <w:szCs w:val="17"/>
        </w:rPr>
        <w:t>Özel ve serbest mekân arasında kişi ve toplum yanında, ailenin bütün yaşama ortamlarını birbirine bağlayan, sosyal dokudan yoksun bir çocukluk dünyasına karşı insani, sosyal ve kültürel yaklaşım hedefi öngörmekle yükümlüdür İNSAN. Varlığın sorumluluğunu taşıyan İNSAN, dünyayı güzelleştirmekle de yükümlüdür. Çünkü, İNSAN, dünyayı güzelleştirmekten ve ÇOCUK’tan yana taraf olmakla da yükümlüdür.</w:t>
      </w:r>
    </w:p>
    <w:p w:rsidR="00BC6C30" w:rsidRDefault="00BC6C30" w:rsidP="00330D5D">
      <w:pPr>
        <w:pStyle w:val="NormalWeb"/>
        <w:spacing w:before="0" w:beforeAutospacing="0" w:after="120" w:afterAutospacing="0" w:line="210" w:lineRule="atLeast"/>
        <w:ind w:firstLine="708"/>
        <w:jc w:val="both"/>
        <w:rPr>
          <w:color w:val="000000"/>
          <w:sz w:val="20"/>
          <w:szCs w:val="17"/>
        </w:rPr>
      </w:pPr>
      <w:r w:rsidRPr="004065B6">
        <w:rPr>
          <w:color w:val="000000"/>
          <w:sz w:val="20"/>
          <w:szCs w:val="17"/>
        </w:rPr>
        <w:t>ÇOCUK konusu en geniş anlamına medeniyet evreninde kavuşur. Her medeniyet ÇOCUK’la yenilenir. Medeniyet ise varoluşunu eğitimle gerçekleştirir. Medeniyetimizin temel varoluş gerekçesi güzellik, doğruluk, erdem, adalet ve iyilik ilkelerine dayanır. Medeniyetin güzellik fikrini sanatlar ve estetik; doğruluk fikrini inançlar felsefe düşünce ve bilim, iyilik fikrini ise ahlâk sağlar. Analizci değil sentezcidir medeniyetimiz: Bilge şari Sezai Karakoç’un vurgusuyla, hayatın her safhasında duygularımız, düşüncelerimiz ve davranışlarımızla karşılaştığımız bütüncül bir olaydır medeniyet. İnsan bir medeniyet içinde insanlaşabilir. Ve insanın insanlaşması ancak insanla mümkün olabilir.</w:t>
      </w:r>
    </w:p>
    <w:p w:rsidR="00124F64" w:rsidRDefault="00124F64" w:rsidP="00124F64">
      <w:pPr>
        <w:pStyle w:val="NormalWeb"/>
        <w:spacing w:before="0" w:beforeAutospacing="0" w:after="120" w:afterAutospacing="0" w:line="210" w:lineRule="atLeast"/>
        <w:jc w:val="center"/>
        <w:rPr>
          <w:b/>
          <w:color w:val="000000"/>
          <w:sz w:val="20"/>
          <w:szCs w:val="17"/>
        </w:rPr>
      </w:pPr>
      <w:r>
        <w:rPr>
          <w:b/>
          <w:color w:val="000000"/>
          <w:sz w:val="22"/>
          <w:szCs w:val="17"/>
        </w:rPr>
        <w:lastRenderedPageBreak/>
        <w:t>KAYNAKÇA</w:t>
      </w:r>
    </w:p>
    <w:p w:rsidR="008A098A" w:rsidRPr="008A098A" w:rsidRDefault="008A098A" w:rsidP="008A098A">
      <w:pPr>
        <w:spacing w:after="120"/>
        <w:ind w:left="426" w:hanging="426"/>
        <w:jc w:val="both"/>
        <w:rPr>
          <w:rFonts w:ascii="Times New Roman" w:eastAsia="Times New Roman" w:hAnsi="Times New Roman" w:cs="Times New Roman"/>
          <w:color w:val="000000"/>
          <w:sz w:val="20"/>
          <w:szCs w:val="17"/>
          <w:lang w:eastAsia="tr-TR"/>
        </w:rPr>
      </w:pPr>
      <w:r w:rsidRPr="008A098A">
        <w:rPr>
          <w:rFonts w:ascii="Times New Roman" w:eastAsia="Times New Roman" w:hAnsi="Times New Roman" w:cs="Times New Roman"/>
          <w:color w:val="000000"/>
          <w:sz w:val="20"/>
          <w:szCs w:val="17"/>
          <w:lang w:eastAsia="tr-TR"/>
        </w:rPr>
        <w:t xml:space="preserve">Blalock, H. M. (1987). </w:t>
      </w:r>
      <w:r w:rsidRPr="008A098A">
        <w:rPr>
          <w:rFonts w:ascii="Times New Roman" w:eastAsia="Times New Roman" w:hAnsi="Times New Roman" w:cs="Times New Roman"/>
          <w:i/>
          <w:color w:val="000000"/>
          <w:sz w:val="20"/>
          <w:szCs w:val="17"/>
          <w:lang w:eastAsia="tr-TR"/>
        </w:rPr>
        <w:t>Social statistics</w:t>
      </w:r>
      <w:r w:rsidRPr="008A098A">
        <w:rPr>
          <w:rFonts w:ascii="Times New Roman" w:eastAsia="Times New Roman" w:hAnsi="Times New Roman" w:cs="Times New Roman"/>
          <w:color w:val="000000"/>
          <w:sz w:val="20"/>
          <w:szCs w:val="17"/>
          <w:lang w:eastAsia="tr-TR"/>
        </w:rPr>
        <w:t xml:space="preserve"> (7.bs.). New York: McGraw-Hill.</w:t>
      </w:r>
    </w:p>
    <w:p w:rsidR="008A098A" w:rsidRPr="008A098A" w:rsidRDefault="008A098A" w:rsidP="008A098A">
      <w:pPr>
        <w:spacing w:after="120"/>
        <w:ind w:left="426" w:hanging="426"/>
        <w:jc w:val="both"/>
        <w:rPr>
          <w:rFonts w:ascii="Times New Roman" w:eastAsia="Times New Roman" w:hAnsi="Times New Roman" w:cs="Times New Roman"/>
          <w:color w:val="000000"/>
          <w:sz w:val="20"/>
          <w:szCs w:val="17"/>
          <w:lang w:eastAsia="tr-TR"/>
        </w:rPr>
      </w:pPr>
      <w:r w:rsidRPr="008A098A">
        <w:rPr>
          <w:rFonts w:ascii="Times New Roman" w:eastAsia="Times New Roman" w:hAnsi="Times New Roman" w:cs="Times New Roman"/>
          <w:color w:val="000000"/>
          <w:sz w:val="20"/>
          <w:szCs w:val="17"/>
          <w:lang w:eastAsia="tr-TR"/>
        </w:rPr>
        <w:t xml:space="preserve">Bayır, D. (1997). USMARC uygulamasına genel bir bakış. B. Yılmaz (Yay. Haz.). </w:t>
      </w:r>
      <w:r w:rsidRPr="00C74F16">
        <w:rPr>
          <w:rFonts w:ascii="Times New Roman" w:eastAsia="Times New Roman" w:hAnsi="Times New Roman" w:cs="Times New Roman"/>
          <w:i/>
          <w:color w:val="000000"/>
          <w:sz w:val="20"/>
          <w:szCs w:val="17"/>
          <w:lang w:eastAsia="tr-TR"/>
        </w:rPr>
        <w:t>Kütüphanecilik Bölümü 25.Yıl’a armağan içinde</w:t>
      </w:r>
      <w:r w:rsidRPr="008A098A">
        <w:rPr>
          <w:rFonts w:ascii="Times New Roman" w:eastAsia="Times New Roman" w:hAnsi="Times New Roman" w:cs="Times New Roman"/>
          <w:color w:val="000000"/>
          <w:sz w:val="20"/>
          <w:szCs w:val="17"/>
          <w:lang w:eastAsia="tr-TR"/>
        </w:rPr>
        <w:t xml:space="preserve"> (ss. 199-218). Ankara: Hacettepe Üniversitesi Kütüphanecilik Bölümü.</w:t>
      </w:r>
    </w:p>
    <w:p w:rsidR="008A098A" w:rsidRPr="008A098A" w:rsidRDefault="008A098A" w:rsidP="008A098A">
      <w:pPr>
        <w:spacing w:after="120"/>
        <w:ind w:left="426" w:hanging="426"/>
        <w:jc w:val="both"/>
        <w:rPr>
          <w:rFonts w:ascii="Times New Roman" w:eastAsia="Times New Roman" w:hAnsi="Times New Roman" w:cs="Times New Roman"/>
          <w:color w:val="000000"/>
          <w:sz w:val="20"/>
          <w:szCs w:val="17"/>
          <w:lang w:eastAsia="tr-TR"/>
        </w:rPr>
      </w:pPr>
      <w:r w:rsidRPr="008A098A">
        <w:rPr>
          <w:rFonts w:ascii="Times New Roman" w:eastAsia="Times New Roman" w:hAnsi="Times New Roman" w:cs="Times New Roman"/>
          <w:color w:val="000000"/>
          <w:sz w:val="20"/>
          <w:szCs w:val="17"/>
          <w:lang w:eastAsia="tr-TR"/>
        </w:rPr>
        <w:t xml:space="preserve">Lewis, B. (2000). </w:t>
      </w:r>
      <w:r w:rsidRPr="0015688B">
        <w:rPr>
          <w:rFonts w:ascii="Times New Roman" w:eastAsia="Times New Roman" w:hAnsi="Times New Roman" w:cs="Times New Roman"/>
          <w:i/>
          <w:color w:val="000000"/>
          <w:sz w:val="20"/>
          <w:szCs w:val="17"/>
          <w:lang w:eastAsia="tr-TR"/>
        </w:rPr>
        <w:t>Modern Türkiye’nin doğuşu</w:t>
      </w:r>
      <w:r w:rsidRPr="008A098A">
        <w:rPr>
          <w:rFonts w:ascii="Times New Roman" w:eastAsia="Times New Roman" w:hAnsi="Times New Roman" w:cs="Times New Roman"/>
          <w:color w:val="000000"/>
          <w:sz w:val="20"/>
          <w:szCs w:val="17"/>
          <w:lang w:eastAsia="tr-TR"/>
        </w:rPr>
        <w:t xml:space="preserve"> (M. Kıratlı, Çev.). Ankara: Türk Tarih Kurumu.</w:t>
      </w:r>
    </w:p>
    <w:p w:rsidR="008A098A" w:rsidRPr="008A098A" w:rsidRDefault="008A098A" w:rsidP="008A098A">
      <w:pPr>
        <w:spacing w:after="120"/>
        <w:ind w:left="426" w:hanging="426"/>
        <w:jc w:val="both"/>
        <w:rPr>
          <w:rFonts w:ascii="Times New Roman" w:eastAsia="Times New Roman" w:hAnsi="Times New Roman" w:cs="Times New Roman"/>
          <w:color w:val="000000"/>
          <w:sz w:val="20"/>
          <w:szCs w:val="17"/>
          <w:lang w:eastAsia="tr-TR"/>
        </w:rPr>
      </w:pPr>
      <w:r w:rsidRPr="008A098A">
        <w:rPr>
          <w:rFonts w:ascii="Times New Roman" w:eastAsia="Times New Roman" w:hAnsi="Times New Roman" w:cs="Times New Roman"/>
          <w:color w:val="000000"/>
          <w:sz w:val="20"/>
          <w:szCs w:val="17"/>
          <w:lang w:eastAsia="tr-TR"/>
        </w:rPr>
        <w:t xml:space="preserve">Karakelle, S. (2012). Üstbilişsel farkındalık, zeka, problem çözme algısı ve düşünme ihtiyacı arasındaki bağlantılar. </w:t>
      </w:r>
      <w:r w:rsidRPr="00821AA6">
        <w:rPr>
          <w:rFonts w:ascii="Times New Roman" w:eastAsia="Times New Roman" w:hAnsi="Times New Roman" w:cs="Times New Roman"/>
          <w:i/>
          <w:color w:val="000000"/>
          <w:sz w:val="20"/>
          <w:szCs w:val="17"/>
          <w:lang w:eastAsia="tr-TR"/>
        </w:rPr>
        <w:t>Eğitim ve Bilim, 37</w:t>
      </w:r>
      <w:r w:rsidRPr="008A098A">
        <w:rPr>
          <w:rFonts w:ascii="Times New Roman" w:eastAsia="Times New Roman" w:hAnsi="Times New Roman" w:cs="Times New Roman"/>
          <w:color w:val="000000"/>
          <w:sz w:val="20"/>
          <w:szCs w:val="17"/>
          <w:lang w:eastAsia="tr-TR"/>
        </w:rPr>
        <w:t>(164), 237-250. doi: 10.15390/EB.2014.3078</w:t>
      </w:r>
    </w:p>
    <w:p w:rsidR="008A098A" w:rsidRPr="008A098A" w:rsidRDefault="008A098A" w:rsidP="008A098A">
      <w:pPr>
        <w:spacing w:after="120"/>
        <w:ind w:left="426" w:hanging="426"/>
        <w:jc w:val="both"/>
        <w:rPr>
          <w:rFonts w:ascii="Times New Roman" w:eastAsia="Times New Roman" w:hAnsi="Times New Roman" w:cs="Times New Roman"/>
          <w:color w:val="000000"/>
          <w:sz w:val="20"/>
          <w:szCs w:val="17"/>
          <w:lang w:eastAsia="tr-TR"/>
        </w:rPr>
      </w:pPr>
      <w:r w:rsidRPr="008A098A">
        <w:rPr>
          <w:rFonts w:ascii="Times New Roman" w:eastAsia="Times New Roman" w:hAnsi="Times New Roman" w:cs="Times New Roman"/>
          <w:color w:val="000000"/>
          <w:sz w:val="20"/>
          <w:szCs w:val="17"/>
          <w:lang w:eastAsia="tr-TR"/>
        </w:rPr>
        <w:t xml:space="preserve">Karakelle, S. (2012). Üstbilişsel farkındalık, zeka, problem çözme algısı ve düşünme ihtiyacı arasındaki bağlantılar. </w:t>
      </w:r>
      <w:r w:rsidRPr="00210E46">
        <w:rPr>
          <w:rFonts w:ascii="Times New Roman" w:eastAsia="Times New Roman" w:hAnsi="Times New Roman" w:cs="Times New Roman"/>
          <w:i/>
          <w:color w:val="000000"/>
          <w:sz w:val="20"/>
          <w:szCs w:val="17"/>
          <w:lang w:eastAsia="tr-TR"/>
        </w:rPr>
        <w:t>Eğitim ve Bilim, 37</w:t>
      </w:r>
      <w:r w:rsidRPr="008A098A">
        <w:rPr>
          <w:rFonts w:ascii="Times New Roman" w:eastAsia="Times New Roman" w:hAnsi="Times New Roman" w:cs="Times New Roman"/>
          <w:color w:val="000000"/>
          <w:sz w:val="20"/>
          <w:szCs w:val="17"/>
          <w:lang w:eastAsia="tr-TR"/>
        </w:rPr>
        <w:t>(164), 237-250. 3 Aralık 2014 tarihinde http://egitimvebilim.ted.org.tr/index.php/EB/article/view/779/376 adresinden erişildi.</w:t>
      </w:r>
    </w:p>
    <w:p w:rsidR="008A098A" w:rsidRPr="008A098A" w:rsidRDefault="008A098A" w:rsidP="008A098A">
      <w:pPr>
        <w:spacing w:after="120"/>
        <w:ind w:left="426" w:hanging="426"/>
        <w:jc w:val="both"/>
        <w:rPr>
          <w:rFonts w:ascii="Times New Roman" w:eastAsia="Times New Roman" w:hAnsi="Times New Roman" w:cs="Times New Roman"/>
          <w:color w:val="000000"/>
          <w:sz w:val="20"/>
          <w:szCs w:val="17"/>
          <w:lang w:eastAsia="tr-TR"/>
        </w:rPr>
      </w:pPr>
      <w:r w:rsidRPr="008A098A">
        <w:rPr>
          <w:rFonts w:ascii="Times New Roman" w:eastAsia="Times New Roman" w:hAnsi="Times New Roman" w:cs="Times New Roman"/>
          <w:color w:val="000000"/>
          <w:sz w:val="20"/>
          <w:szCs w:val="17"/>
          <w:lang w:eastAsia="tr-TR"/>
        </w:rPr>
        <w:t xml:space="preserve">Mantar, E. (2003). </w:t>
      </w:r>
      <w:r w:rsidRPr="00B46C01">
        <w:rPr>
          <w:rFonts w:ascii="Times New Roman" w:eastAsia="Times New Roman" w:hAnsi="Times New Roman" w:cs="Times New Roman"/>
          <w:i/>
          <w:color w:val="000000"/>
          <w:sz w:val="20"/>
          <w:szCs w:val="17"/>
          <w:lang w:eastAsia="tr-TR"/>
        </w:rPr>
        <w:t>Kütüphanecilikte sürekli eğitim: Ankara’da bulunan üniversite kütüphaneleri üzerine bir inceleme</w:t>
      </w:r>
      <w:r w:rsidRPr="008A098A">
        <w:rPr>
          <w:rFonts w:ascii="Times New Roman" w:eastAsia="Times New Roman" w:hAnsi="Times New Roman" w:cs="Times New Roman"/>
          <w:color w:val="000000"/>
          <w:sz w:val="20"/>
          <w:szCs w:val="17"/>
          <w:lang w:eastAsia="tr-TR"/>
        </w:rPr>
        <w:t>. Yayınlanmamış yüksek lisans tezi, Hacettepe Üniversitesi, Ankara.</w:t>
      </w:r>
    </w:p>
    <w:p w:rsidR="008A098A" w:rsidRPr="008A098A" w:rsidRDefault="008A098A" w:rsidP="008A098A">
      <w:pPr>
        <w:spacing w:after="120"/>
        <w:ind w:left="426" w:hanging="426"/>
        <w:jc w:val="both"/>
        <w:rPr>
          <w:rFonts w:ascii="Times New Roman" w:eastAsia="Times New Roman" w:hAnsi="Times New Roman" w:cs="Times New Roman"/>
          <w:color w:val="000000"/>
          <w:sz w:val="20"/>
          <w:szCs w:val="17"/>
          <w:lang w:eastAsia="tr-TR"/>
        </w:rPr>
      </w:pPr>
      <w:r w:rsidRPr="008A098A">
        <w:rPr>
          <w:rFonts w:ascii="Times New Roman" w:eastAsia="Times New Roman" w:hAnsi="Times New Roman" w:cs="Times New Roman"/>
          <w:color w:val="000000"/>
          <w:sz w:val="20"/>
          <w:szCs w:val="17"/>
          <w:lang w:eastAsia="tr-TR"/>
        </w:rPr>
        <w:t xml:space="preserve">Çakmak, T. ve Körpeoğlu, H. (2012). Web content management within the organizational identity framework: A Study for Hacettepe University Department of Information Management web content management system. </w:t>
      </w:r>
      <w:r w:rsidRPr="00E524F3">
        <w:rPr>
          <w:rFonts w:ascii="Times New Roman" w:eastAsia="Times New Roman" w:hAnsi="Times New Roman" w:cs="Times New Roman"/>
          <w:i/>
          <w:color w:val="000000"/>
          <w:sz w:val="20"/>
          <w:szCs w:val="17"/>
          <w:lang w:eastAsia="tr-TR"/>
        </w:rPr>
        <w:t>BOBCATSSS 2012 Information in E-motion 23-25 Ocak 2012 içinde</w:t>
      </w:r>
      <w:r w:rsidRPr="008A098A">
        <w:rPr>
          <w:rFonts w:ascii="Times New Roman" w:eastAsia="Times New Roman" w:hAnsi="Times New Roman" w:cs="Times New Roman"/>
          <w:color w:val="000000"/>
          <w:sz w:val="20"/>
          <w:szCs w:val="17"/>
          <w:lang w:eastAsia="tr-TR"/>
        </w:rPr>
        <w:t xml:space="preserve"> (s. 91-93). Amsterdam: Hogeschool van Amsterdam.</w:t>
      </w:r>
    </w:p>
    <w:p w:rsidR="0026185A" w:rsidRDefault="008A098A" w:rsidP="008A098A">
      <w:pPr>
        <w:spacing w:after="120"/>
        <w:ind w:left="426" w:hanging="426"/>
        <w:jc w:val="both"/>
        <w:rPr>
          <w:rFonts w:ascii="Times New Roman" w:eastAsia="Times New Roman" w:hAnsi="Times New Roman" w:cs="Times New Roman"/>
          <w:color w:val="000000"/>
          <w:sz w:val="20"/>
          <w:szCs w:val="17"/>
          <w:lang w:eastAsia="tr-TR"/>
        </w:rPr>
      </w:pPr>
      <w:r w:rsidRPr="008A098A">
        <w:rPr>
          <w:rFonts w:ascii="Times New Roman" w:eastAsia="Times New Roman" w:hAnsi="Times New Roman" w:cs="Times New Roman"/>
          <w:color w:val="000000"/>
          <w:sz w:val="20"/>
          <w:szCs w:val="17"/>
          <w:lang w:eastAsia="tr-TR"/>
        </w:rPr>
        <w:t xml:space="preserve">UNESCO. (2013). </w:t>
      </w:r>
      <w:r w:rsidRPr="006F36D7">
        <w:rPr>
          <w:rFonts w:ascii="Times New Roman" w:eastAsia="Times New Roman" w:hAnsi="Times New Roman" w:cs="Times New Roman"/>
          <w:i/>
          <w:color w:val="000000"/>
          <w:sz w:val="20"/>
          <w:szCs w:val="17"/>
          <w:lang w:eastAsia="tr-TR"/>
        </w:rPr>
        <w:t>World Heritage list</w:t>
      </w:r>
      <w:r w:rsidRPr="008A098A">
        <w:rPr>
          <w:rFonts w:ascii="Times New Roman" w:eastAsia="Times New Roman" w:hAnsi="Times New Roman" w:cs="Times New Roman"/>
          <w:color w:val="000000"/>
          <w:sz w:val="20"/>
          <w:szCs w:val="17"/>
          <w:lang w:eastAsia="tr-TR"/>
        </w:rPr>
        <w:t>. UNESCO web sitesinden 21 Aralık 2013 tarihinde erişildi: http://whc.unesco.org/en/list</w:t>
      </w:r>
    </w:p>
    <w:sectPr w:rsidR="0026185A" w:rsidSect="006D293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851"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D16" w:rsidRDefault="002D6D16" w:rsidP="00BA0699">
      <w:pPr>
        <w:spacing w:after="0" w:line="240" w:lineRule="auto"/>
      </w:pPr>
      <w:r>
        <w:separator/>
      </w:r>
    </w:p>
  </w:endnote>
  <w:endnote w:type="continuationSeparator" w:id="0">
    <w:p w:rsidR="002D6D16" w:rsidRDefault="002D6D16" w:rsidP="00BA0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dashSmallGap" w:sz="4" w:space="0" w:color="71C1B7"/>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1560"/>
      <w:gridCol w:w="7502"/>
    </w:tblGrid>
    <w:tr w:rsidR="006A2AB8" w:rsidRPr="006A2AB8" w:rsidTr="00E94E22">
      <w:tc>
        <w:tcPr>
          <w:tcW w:w="1560" w:type="dxa"/>
        </w:tcPr>
        <w:p w:rsidR="006A2AB8" w:rsidRPr="005F35D6" w:rsidRDefault="006A2AB8" w:rsidP="006A2AB8">
          <w:pPr>
            <w:pStyle w:val="Altbilgi"/>
            <w:rPr>
              <w:rFonts w:asciiTheme="majorHAnsi" w:hAnsiTheme="majorHAnsi"/>
              <w:color w:val="808080" w:themeColor="background1" w:themeShade="80"/>
              <w:sz w:val="18"/>
            </w:rPr>
          </w:pPr>
          <w:r w:rsidRPr="005F35D6">
            <w:rPr>
              <w:rFonts w:asciiTheme="majorHAnsi" w:hAnsiTheme="majorHAnsi"/>
              <w:color w:val="71C1B7"/>
              <w:sz w:val="18"/>
            </w:rPr>
            <w:t>◊</w:t>
          </w:r>
          <w:r w:rsidRPr="005F35D6">
            <w:rPr>
              <w:rFonts w:asciiTheme="majorHAnsi" w:hAnsiTheme="majorHAnsi"/>
              <w:color w:val="808080" w:themeColor="background1" w:themeShade="80"/>
              <w:sz w:val="18"/>
            </w:rPr>
            <w:t xml:space="preserve"> </w:t>
          </w:r>
          <w:r w:rsidR="00FD3179" w:rsidRPr="005F35D6">
            <w:rPr>
              <w:rFonts w:asciiTheme="majorHAnsi" w:hAnsiTheme="majorHAnsi"/>
              <w:color w:val="767171" w:themeColor="background2" w:themeShade="80"/>
              <w:sz w:val="18"/>
            </w:rPr>
            <w:fldChar w:fldCharType="begin"/>
          </w:r>
          <w:r w:rsidR="00FD3179" w:rsidRPr="005F35D6">
            <w:rPr>
              <w:rFonts w:asciiTheme="majorHAnsi" w:hAnsiTheme="majorHAnsi"/>
              <w:color w:val="767171" w:themeColor="background2" w:themeShade="80"/>
              <w:sz w:val="18"/>
            </w:rPr>
            <w:instrText>PAGE   \* MERGEFORMAT</w:instrText>
          </w:r>
          <w:r w:rsidR="00FD3179" w:rsidRPr="005F35D6">
            <w:rPr>
              <w:rFonts w:asciiTheme="majorHAnsi" w:hAnsiTheme="majorHAnsi"/>
              <w:color w:val="767171" w:themeColor="background2" w:themeShade="80"/>
              <w:sz w:val="18"/>
            </w:rPr>
            <w:fldChar w:fldCharType="separate"/>
          </w:r>
          <w:r w:rsidR="00856CEE">
            <w:rPr>
              <w:rFonts w:asciiTheme="majorHAnsi" w:hAnsiTheme="majorHAnsi"/>
              <w:noProof/>
              <w:color w:val="767171" w:themeColor="background2" w:themeShade="80"/>
              <w:sz w:val="18"/>
            </w:rPr>
            <w:t>4</w:t>
          </w:r>
          <w:r w:rsidR="00FD3179" w:rsidRPr="005F35D6">
            <w:rPr>
              <w:rFonts w:asciiTheme="majorHAnsi" w:hAnsiTheme="majorHAnsi"/>
              <w:color w:val="767171" w:themeColor="background2" w:themeShade="80"/>
              <w:sz w:val="18"/>
            </w:rPr>
            <w:fldChar w:fldCharType="end"/>
          </w:r>
        </w:p>
      </w:tc>
      <w:tc>
        <w:tcPr>
          <w:tcW w:w="7502" w:type="dxa"/>
        </w:tcPr>
        <w:p w:rsidR="006A2AB8" w:rsidRPr="005F35D6" w:rsidRDefault="00356DF2" w:rsidP="006A2AB8">
          <w:pPr>
            <w:pStyle w:val="Altbilgi"/>
            <w:jc w:val="right"/>
            <w:rPr>
              <w:rFonts w:asciiTheme="majorHAnsi" w:hAnsiTheme="majorHAnsi"/>
              <w:color w:val="808080" w:themeColor="background1" w:themeShade="80"/>
              <w:sz w:val="18"/>
            </w:rPr>
          </w:pPr>
          <w:r>
            <w:rPr>
              <w:rFonts w:asciiTheme="majorHAnsi" w:hAnsiTheme="majorHAnsi"/>
              <w:color w:val="767171" w:themeColor="background2" w:themeShade="80"/>
              <w:sz w:val="16"/>
            </w:rPr>
            <w:t>Cilt/Volume 1, Sayı/Number 1</w:t>
          </w:r>
          <w:r w:rsidRPr="00BF1BBF">
            <w:rPr>
              <w:rFonts w:asciiTheme="majorHAnsi" w:hAnsiTheme="majorHAnsi"/>
              <w:color w:val="767171" w:themeColor="background2" w:themeShade="80"/>
              <w:sz w:val="16"/>
            </w:rPr>
            <w:t xml:space="preserve">, </w:t>
          </w:r>
          <w:r>
            <w:rPr>
              <w:rFonts w:asciiTheme="majorHAnsi" w:hAnsiTheme="majorHAnsi"/>
              <w:color w:val="767171" w:themeColor="background2" w:themeShade="80"/>
              <w:sz w:val="16"/>
            </w:rPr>
            <w:t>Haziran</w:t>
          </w:r>
          <w:r w:rsidRPr="00BF1BBF">
            <w:rPr>
              <w:rFonts w:asciiTheme="majorHAnsi" w:hAnsiTheme="majorHAnsi"/>
              <w:color w:val="767171" w:themeColor="background2" w:themeShade="80"/>
              <w:sz w:val="16"/>
            </w:rPr>
            <w:t>/</w:t>
          </w:r>
          <w:r>
            <w:rPr>
              <w:rFonts w:asciiTheme="majorHAnsi" w:hAnsiTheme="majorHAnsi"/>
              <w:color w:val="767171" w:themeColor="background2" w:themeShade="80"/>
              <w:sz w:val="16"/>
            </w:rPr>
            <w:t>June 2015</w:t>
          </w:r>
          <w:r w:rsidR="006A2AB8" w:rsidRPr="00BF1BBF">
            <w:rPr>
              <w:rFonts w:asciiTheme="majorHAnsi" w:hAnsiTheme="majorHAnsi"/>
              <w:color w:val="767171" w:themeColor="background2" w:themeShade="80"/>
              <w:sz w:val="16"/>
            </w:rPr>
            <w:t>; Sayfa/Pages 133-140</w:t>
          </w:r>
        </w:p>
      </w:tc>
    </w:tr>
  </w:tbl>
  <w:p w:rsidR="006A2AB8" w:rsidRDefault="006A2AB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dashSmallGap" w:sz="4" w:space="0" w:color="71C1B7"/>
        <w:left w:val="none" w:sz="0" w:space="0" w:color="auto"/>
        <w:bottom w:val="none" w:sz="0" w:space="0" w:color="auto"/>
        <w:right w:val="none" w:sz="0" w:space="0" w:color="auto"/>
        <w:insideH w:val="none" w:sz="0" w:space="0" w:color="auto"/>
        <w:insideV w:val="none" w:sz="0" w:space="0" w:color="auto"/>
      </w:tblBorders>
      <w:tblCellMar>
        <w:top w:w="28" w:type="dxa"/>
        <w:left w:w="0" w:type="dxa"/>
        <w:right w:w="0" w:type="dxa"/>
      </w:tblCellMar>
      <w:tblLook w:val="04A0" w:firstRow="1" w:lastRow="0" w:firstColumn="1" w:lastColumn="0" w:noHBand="0" w:noVBand="1"/>
    </w:tblPr>
    <w:tblGrid>
      <w:gridCol w:w="5812"/>
      <w:gridCol w:w="3250"/>
    </w:tblGrid>
    <w:tr w:rsidR="00EC6C4F" w:rsidRPr="00FD3179" w:rsidTr="00196155">
      <w:tc>
        <w:tcPr>
          <w:tcW w:w="5812" w:type="dxa"/>
        </w:tcPr>
        <w:p w:rsidR="00EC6C4F" w:rsidRPr="008A203A" w:rsidRDefault="00EC6C4F" w:rsidP="00EC6C4F">
          <w:pPr>
            <w:pStyle w:val="Altbilgi"/>
            <w:rPr>
              <w:rFonts w:asciiTheme="majorHAnsi" w:hAnsiTheme="majorHAnsi"/>
              <w:color w:val="808080" w:themeColor="background1" w:themeShade="80"/>
              <w:sz w:val="18"/>
            </w:rPr>
          </w:pPr>
          <w:r w:rsidRPr="00BF1BBF">
            <w:rPr>
              <w:rFonts w:asciiTheme="majorHAnsi" w:hAnsiTheme="majorHAnsi"/>
              <w:color w:val="767171" w:themeColor="background2" w:themeShade="80"/>
              <w:sz w:val="16"/>
            </w:rPr>
            <w:t>Cilt/Volume 4, Sayı/Number 3, Aralık/December 2014; Sayfa/Pages 133-140</w:t>
          </w:r>
        </w:p>
      </w:tc>
      <w:tc>
        <w:tcPr>
          <w:tcW w:w="3250" w:type="dxa"/>
        </w:tcPr>
        <w:p w:rsidR="00EC6C4F" w:rsidRPr="008A203A" w:rsidRDefault="00EC6C4F" w:rsidP="00EC6C4F">
          <w:pPr>
            <w:pStyle w:val="Altbilgi"/>
            <w:jc w:val="right"/>
            <w:rPr>
              <w:rFonts w:asciiTheme="majorHAnsi" w:hAnsiTheme="majorHAnsi"/>
              <w:color w:val="808080" w:themeColor="background1" w:themeShade="80"/>
              <w:sz w:val="18"/>
            </w:rPr>
          </w:pPr>
          <w:r w:rsidRPr="008A203A">
            <w:rPr>
              <w:rFonts w:asciiTheme="majorHAnsi" w:hAnsiTheme="majorHAnsi"/>
              <w:color w:val="808080" w:themeColor="background1" w:themeShade="80"/>
              <w:sz w:val="18"/>
            </w:rPr>
            <w:fldChar w:fldCharType="begin"/>
          </w:r>
          <w:r w:rsidRPr="008A203A">
            <w:rPr>
              <w:rFonts w:asciiTheme="majorHAnsi" w:hAnsiTheme="majorHAnsi"/>
              <w:color w:val="808080" w:themeColor="background1" w:themeShade="80"/>
              <w:sz w:val="18"/>
            </w:rPr>
            <w:instrText>PAGE   \* MERGEFORMAT</w:instrText>
          </w:r>
          <w:r w:rsidRPr="008A203A">
            <w:rPr>
              <w:rFonts w:asciiTheme="majorHAnsi" w:hAnsiTheme="majorHAnsi"/>
              <w:color w:val="808080" w:themeColor="background1" w:themeShade="80"/>
              <w:sz w:val="18"/>
            </w:rPr>
            <w:fldChar w:fldCharType="separate"/>
          </w:r>
          <w:r w:rsidR="00856CEE">
            <w:rPr>
              <w:rFonts w:asciiTheme="majorHAnsi" w:hAnsiTheme="majorHAnsi"/>
              <w:noProof/>
              <w:color w:val="808080" w:themeColor="background1" w:themeShade="80"/>
              <w:sz w:val="18"/>
            </w:rPr>
            <w:t>5</w:t>
          </w:r>
          <w:r w:rsidRPr="008A203A">
            <w:rPr>
              <w:rFonts w:asciiTheme="majorHAnsi" w:hAnsiTheme="majorHAnsi"/>
              <w:color w:val="808080" w:themeColor="background1" w:themeShade="80"/>
              <w:sz w:val="18"/>
            </w:rPr>
            <w:fldChar w:fldCharType="end"/>
          </w:r>
          <w:r w:rsidRPr="008A203A">
            <w:rPr>
              <w:rFonts w:asciiTheme="majorHAnsi" w:hAnsiTheme="majorHAnsi"/>
              <w:color w:val="808080" w:themeColor="background1" w:themeShade="80"/>
              <w:sz w:val="18"/>
            </w:rPr>
            <w:t xml:space="preserve"> </w:t>
          </w:r>
          <w:r w:rsidRPr="008A203A">
            <w:rPr>
              <w:rFonts w:asciiTheme="majorHAnsi" w:hAnsiTheme="majorHAnsi"/>
              <w:color w:val="71C1B7"/>
              <w:sz w:val="18"/>
            </w:rPr>
            <w:t>◊</w:t>
          </w:r>
        </w:p>
      </w:tc>
    </w:tr>
  </w:tbl>
  <w:p w:rsidR="00EC6C4F" w:rsidRDefault="00EC6C4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dashSmallGap" w:sz="4" w:space="0" w:color="71C1B7"/>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3250"/>
    </w:tblGrid>
    <w:tr w:rsidR="00FD3179" w:rsidRPr="00FD3179" w:rsidTr="00E94E22">
      <w:tc>
        <w:tcPr>
          <w:tcW w:w="5812" w:type="dxa"/>
        </w:tcPr>
        <w:p w:rsidR="006A2AB8" w:rsidRPr="008A203A" w:rsidRDefault="005A62A0" w:rsidP="005A62A0">
          <w:pPr>
            <w:pStyle w:val="Altbilgi"/>
            <w:rPr>
              <w:rFonts w:asciiTheme="majorHAnsi" w:hAnsiTheme="majorHAnsi"/>
              <w:color w:val="808080" w:themeColor="background1" w:themeShade="80"/>
              <w:sz w:val="18"/>
            </w:rPr>
          </w:pPr>
          <w:r>
            <w:rPr>
              <w:rFonts w:asciiTheme="majorHAnsi" w:hAnsiTheme="majorHAnsi"/>
              <w:color w:val="767171" w:themeColor="background2" w:themeShade="80"/>
              <w:sz w:val="16"/>
            </w:rPr>
            <w:t>Cilt/Volume 1, Sayı/Number 1</w:t>
          </w:r>
          <w:r w:rsidR="006A2AB8" w:rsidRPr="00BF1BBF">
            <w:rPr>
              <w:rFonts w:asciiTheme="majorHAnsi" w:hAnsiTheme="majorHAnsi"/>
              <w:color w:val="767171" w:themeColor="background2" w:themeShade="80"/>
              <w:sz w:val="16"/>
            </w:rPr>
            <w:t xml:space="preserve">, </w:t>
          </w:r>
          <w:r>
            <w:rPr>
              <w:rFonts w:asciiTheme="majorHAnsi" w:hAnsiTheme="majorHAnsi"/>
              <w:color w:val="767171" w:themeColor="background2" w:themeShade="80"/>
              <w:sz w:val="16"/>
            </w:rPr>
            <w:t>Haziran</w:t>
          </w:r>
          <w:r w:rsidR="006A2AB8" w:rsidRPr="00BF1BBF">
            <w:rPr>
              <w:rFonts w:asciiTheme="majorHAnsi" w:hAnsiTheme="majorHAnsi"/>
              <w:color w:val="767171" w:themeColor="background2" w:themeShade="80"/>
              <w:sz w:val="16"/>
            </w:rPr>
            <w:t>/</w:t>
          </w:r>
          <w:r>
            <w:rPr>
              <w:rFonts w:asciiTheme="majorHAnsi" w:hAnsiTheme="majorHAnsi"/>
              <w:color w:val="767171" w:themeColor="background2" w:themeShade="80"/>
              <w:sz w:val="16"/>
            </w:rPr>
            <w:t>June 2015</w:t>
          </w:r>
          <w:r w:rsidR="006A2AB8" w:rsidRPr="00BF1BBF">
            <w:rPr>
              <w:rFonts w:asciiTheme="majorHAnsi" w:hAnsiTheme="majorHAnsi"/>
              <w:color w:val="767171" w:themeColor="background2" w:themeShade="80"/>
              <w:sz w:val="16"/>
            </w:rPr>
            <w:t>; Sayfa/Pages 133-140</w:t>
          </w:r>
        </w:p>
      </w:tc>
      <w:tc>
        <w:tcPr>
          <w:tcW w:w="3250" w:type="dxa"/>
        </w:tcPr>
        <w:p w:rsidR="006A2AB8" w:rsidRPr="008A203A" w:rsidRDefault="00FD3179" w:rsidP="006A2AB8">
          <w:pPr>
            <w:pStyle w:val="Altbilgi"/>
            <w:jc w:val="right"/>
            <w:rPr>
              <w:rFonts w:asciiTheme="majorHAnsi" w:hAnsiTheme="majorHAnsi"/>
              <w:color w:val="808080" w:themeColor="background1" w:themeShade="80"/>
              <w:sz w:val="18"/>
            </w:rPr>
          </w:pPr>
          <w:r w:rsidRPr="008A203A">
            <w:rPr>
              <w:rFonts w:asciiTheme="majorHAnsi" w:hAnsiTheme="majorHAnsi"/>
              <w:color w:val="808080" w:themeColor="background1" w:themeShade="80"/>
              <w:sz w:val="18"/>
            </w:rPr>
            <w:fldChar w:fldCharType="begin"/>
          </w:r>
          <w:r w:rsidRPr="008A203A">
            <w:rPr>
              <w:rFonts w:asciiTheme="majorHAnsi" w:hAnsiTheme="majorHAnsi"/>
              <w:color w:val="808080" w:themeColor="background1" w:themeShade="80"/>
              <w:sz w:val="18"/>
            </w:rPr>
            <w:instrText>PAGE   \* MERGEFORMAT</w:instrText>
          </w:r>
          <w:r w:rsidRPr="008A203A">
            <w:rPr>
              <w:rFonts w:asciiTheme="majorHAnsi" w:hAnsiTheme="majorHAnsi"/>
              <w:color w:val="808080" w:themeColor="background1" w:themeShade="80"/>
              <w:sz w:val="18"/>
            </w:rPr>
            <w:fldChar w:fldCharType="separate"/>
          </w:r>
          <w:r w:rsidR="00856CEE">
            <w:rPr>
              <w:rFonts w:asciiTheme="majorHAnsi" w:hAnsiTheme="majorHAnsi"/>
              <w:noProof/>
              <w:color w:val="808080" w:themeColor="background1" w:themeShade="80"/>
              <w:sz w:val="18"/>
            </w:rPr>
            <w:t>1</w:t>
          </w:r>
          <w:r w:rsidRPr="008A203A">
            <w:rPr>
              <w:rFonts w:asciiTheme="majorHAnsi" w:hAnsiTheme="majorHAnsi"/>
              <w:color w:val="808080" w:themeColor="background1" w:themeShade="80"/>
              <w:sz w:val="18"/>
            </w:rPr>
            <w:fldChar w:fldCharType="end"/>
          </w:r>
          <w:r w:rsidR="006A2AB8" w:rsidRPr="008A203A">
            <w:rPr>
              <w:rFonts w:asciiTheme="majorHAnsi" w:hAnsiTheme="majorHAnsi"/>
              <w:color w:val="808080" w:themeColor="background1" w:themeShade="80"/>
              <w:sz w:val="18"/>
            </w:rPr>
            <w:t xml:space="preserve"> </w:t>
          </w:r>
          <w:r w:rsidR="006A2AB8" w:rsidRPr="008A203A">
            <w:rPr>
              <w:rFonts w:asciiTheme="majorHAnsi" w:hAnsiTheme="majorHAnsi"/>
              <w:color w:val="71C1B7"/>
              <w:sz w:val="18"/>
            </w:rPr>
            <w:t>◊</w:t>
          </w:r>
        </w:p>
      </w:tc>
    </w:tr>
  </w:tbl>
  <w:p w:rsidR="006A2AB8" w:rsidRPr="00FD3179" w:rsidRDefault="006A2AB8" w:rsidP="006A2AB8">
    <w:pPr>
      <w:pStyle w:val="Altbilgi"/>
      <w:rPr>
        <w:color w:val="808080" w:themeColor="background1" w:themeShade="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D16" w:rsidRDefault="002D6D16" w:rsidP="00BA0699">
      <w:pPr>
        <w:spacing w:after="0" w:line="240" w:lineRule="auto"/>
      </w:pPr>
      <w:r>
        <w:separator/>
      </w:r>
    </w:p>
  </w:footnote>
  <w:footnote w:type="continuationSeparator" w:id="0">
    <w:p w:rsidR="002D6D16" w:rsidRDefault="002D6D16" w:rsidP="00BA0699">
      <w:pPr>
        <w:spacing w:after="0" w:line="240" w:lineRule="auto"/>
      </w:pPr>
      <w:r>
        <w:continuationSeparator/>
      </w:r>
    </w:p>
  </w:footnote>
  <w:footnote w:id="1">
    <w:p w:rsidR="00B95633" w:rsidRPr="00B95633" w:rsidRDefault="00B95633">
      <w:pPr>
        <w:pStyle w:val="DipnotMetni"/>
        <w:rPr>
          <w:rFonts w:ascii="Times New Roman" w:hAnsi="Times New Roman" w:cs="Times New Roman"/>
          <w:sz w:val="14"/>
        </w:rPr>
      </w:pPr>
      <w:r w:rsidRPr="00806CD9">
        <w:rPr>
          <w:rStyle w:val="DipnotBavurusu"/>
          <w:rFonts w:ascii="Times New Roman" w:hAnsi="Times New Roman" w:cs="Times New Roman"/>
          <w:sz w:val="16"/>
        </w:rPr>
        <w:t>*</w:t>
      </w:r>
      <w:r w:rsidRPr="00806CD9">
        <w:rPr>
          <w:rFonts w:ascii="Times New Roman" w:hAnsi="Times New Roman" w:cs="Times New Roman"/>
          <w:sz w:val="16"/>
        </w:rPr>
        <w:t xml:space="preserve"> Bu çalışma XXX Kongresinde sözlü bildiri olarka sunulmuştur. Bu çalışma Prof. Dr. XXX danışmanlığında XXX başlıklı Yüksek Lisans/Doktara tezinden üretilmiştir.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none" w:sz="0" w:space="0" w:color="auto"/>
        <w:left w:val="none" w:sz="0" w:space="0" w:color="auto"/>
        <w:bottom w:val="dashSmallGap" w:sz="4" w:space="0" w:color="71C1B7"/>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9072"/>
    </w:tblGrid>
    <w:tr w:rsidR="009C3716" w:rsidRPr="00FD3179" w:rsidTr="006D293E">
      <w:tc>
        <w:tcPr>
          <w:tcW w:w="9072" w:type="dxa"/>
        </w:tcPr>
        <w:p w:rsidR="009C3716" w:rsidRPr="008A203A" w:rsidRDefault="009C3716" w:rsidP="002748F3">
          <w:pPr>
            <w:pStyle w:val="Altbilgi"/>
            <w:rPr>
              <w:rFonts w:asciiTheme="majorHAnsi" w:hAnsiTheme="majorHAnsi"/>
              <w:color w:val="808080" w:themeColor="background1" w:themeShade="80"/>
              <w:sz w:val="18"/>
            </w:rPr>
          </w:pPr>
          <w:r>
            <w:rPr>
              <w:rFonts w:asciiTheme="majorHAnsi" w:hAnsiTheme="majorHAnsi"/>
              <w:color w:val="767171" w:themeColor="background2" w:themeShade="80"/>
              <w:sz w:val="16"/>
            </w:rPr>
            <w:t xml:space="preserve">Mustafa Ruhi Şirin, Mehmet Palancı </w:t>
          </w:r>
          <w:r w:rsidR="002748F3">
            <w:rPr>
              <w:rFonts w:asciiTheme="majorHAnsi" w:hAnsiTheme="majorHAnsi"/>
              <w:color w:val="767171" w:themeColor="background2" w:themeShade="80"/>
              <w:sz w:val="16"/>
            </w:rPr>
            <w:t>&amp;</w:t>
          </w:r>
          <w:r>
            <w:rPr>
              <w:rFonts w:asciiTheme="majorHAnsi" w:hAnsiTheme="majorHAnsi"/>
              <w:color w:val="767171" w:themeColor="background2" w:themeShade="80"/>
              <w:sz w:val="16"/>
            </w:rPr>
            <w:t xml:space="preserve"> Hüseyin Körpeoğlu</w:t>
          </w:r>
        </w:p>
      </w:tc>
    </w:tr>
  </w:tbl>
  <w:p w:rsidR="009C3716" w:rsidRDefault="009C3716" w:rsidP="006D293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Borders>
        <w:top w:val="dashSmallGap" w:sz="4" w:space="0" w:color="71C1B7"/>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9072"/>
    </w:tblGrid>
    <w:tr w:rsidR="00707568" w:rsidRPr="006A2AB8" w:rsidTr="006D293E">
      <w:tc>
        <w:tcPr>
          <w:tcW w:w="9072" w:type="dxa"/>
          <w:tcBorders>
            <w:top w:val="nil"/>
            <w:bottom w:val="dashSmallGap" w:sz="4" w:space="0" w:color="71C1B7"/>
          </w:tcBorders>
        </w:tcPr>
        <w:p w:rsidR="00707568" w:rsidRPr="00707568" w:rsidRDefault="00907B6A" w:rsidP="00907B6A">
          <w:pPr>
            <w:pStyle w:val="Altbilgi"/>
            <w:jc w:val="right"/>
            <w:rPr>
              <w:rFonts w:asciiTheme="majorHAnsi" w:hAnsiTheme="majorHAnsi"/>
              <w:color w:val="808080" w:themeColor="background1" w:themeShade="80"/>
              <w:sz w:val="18"/>
            </w:rPr>
          </w:pPr>
          <w:r w:rsidRPr="00907B6A">
            <w:rPr>
              <w:rFonts w:asciiTheme="majorHAnsi" w:eastAsia="Times New Roman" w:hAnsiTheme="majorHAnsi" w:cs="Times New Roman"/>
              <w:iCs/>
              <w:color w:val="000000"/>
              <w:sz w:val="16"/>
              <w:szCs w:val="20"/>
              <w:lang w:eastAsia="tr-TR"/>
            </w:rPr>
            <w:t>Çocuklar her türlü ihmal ve istismardan korunmalı ve onlar her koşulda yetişkinlerden daha özel ele alınmalıdır</w:t>
          </w:r>
        </w:p>
      </w:tc>
    </w:tr>
  </w:tbl>
  <w:p w:rsidR="009C3716" w:rsidRPr="00707568" w:rsidRDefault="009C3716" w:rsidP="00707568">
    <w:pPr>
      <w:pStyle w:val="stbilgi"/>
      <w:tabs>
        <w:tab w:val="clear" w:pos="4536"/>
        <w:tab w:val="clear" w:pos="9072"/>
        <w:tab w:val="left" w:pos="5142"/>
      </w:tabs>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1275"/>
      <w:gridCol w:w="3402"/>
    </w:tblGrid>
    <w:tr w:rsidR="008823BC" w:rsidTr="003F754F">
      <w:trPr>
        <w:trHeight w:val="300"/>
      </w:trPr>
      <w:tc>
        <w:tcPr>
          <w:tcW w:w="4395" w:type="dxa"/>
          <w:vAlign w:val="center"/>
        </w:tcPr>
        <w:p w:rsidR="008823BC" w:rsidRPr="00BA0699" w:rsidRDefault="008823BC" w:rsidP="00BA0699">
          <w:pPr>
            <w:pStyle w:val="stbilgi"/>
            <w:rPr>
              <w:color w:val="71C1B7"/>
              <w:sz w:val="32"/>
            </w:rPr>
          </w:pPr>
          <w:r w:rsidRPr="00BA0699">
            <w:rPr>
              <w:color w:val="71C1B7"/>
              <w:sz w:val="32"/>
            </w:rPr>
            <w:t>ÇOCUK VE MEDENİYET</w:t>
          </w:r>
          <w:r w:rsidR="003F754F">
            <w:rPr>
              <w:color w:val="71C1B7"/>
              <w:sz w:val="32"/>
            </w:rPr>
            <w:t xml:space="preserve"> DERGİSİ</w:t>
          </w:r>
        </w:p>
        <w:p w:rsidR="008823BC" w:rsidRPr="00BA0699" w:rsidRDefault="003F754F" w:rsidP="008823BC">
          <w:pPr>
            <w:pStyle w:val="stbilgi"/>
            <w:rPr>
              <w:color w:val="71C1B7"/>
              <w:w w:val="102"/>
            </w:rPr>
          </w:pPr>
          <w:r>
            <w:rPr>
              <w:color w:val="71C1B7"/>
              <w:w w:val="102"/>
            </w:rPr>
            <w:t>ISSN:</w:t>
          </w:r>
          <w:r w:rsidR="00856CEE">
            <w:rPr>
              <w:color w:val="71C1B7"/>
              <w:w w:val="102"/>
            </w:rPr>
            <w:t xml:space="preserve"> </w:t>
          </w:r>
          <w:bookmarkStart w:id="0" w:name="_GoBack"/>
          <w:bookmarkEnd w:id="0"/>
          <w:r>
            <w:rPr>
              <w:color w:val="71C1B7"/>
              <w:w w:val="102"/>
            </w:rPr>
            <w:t>XXXX-XXXX</w:t>
          </w:r>
        </w:p>
      </w:tc>
      <w:tc>
        <w:tcPr>
          <w:tcW w:w="1275" w:type="dxa"/>
          <w:vAlign w:val="center"/>
        </w:tcPr>
        <w:p w:rsidR="008823BC" w:rsidRDefault="00FD3179" w:rsidP="00BA0699">
          <w:pPr>
            <w:pStyle w:val="stbilgi"/>
            <w:jc w:val="center"/>
          </w:pPr>
          <w:r>
            <w:rPr>
              <w:noProof/>
              <w:lang w:eastAsia="tr-TR"/>
            </w:rPr>
            <w:drawing>
              <wp:inline distT="0" distB="0" distL="0" distR="0">
                <wp:extent cx="603250" cy="431800"/>
                <wp:effectExtent l="0" t="0" r="6350" b="6350"/>
                <wp:docPr id="7" name="Resim 7" descr="C:\Users\Hüseyin\AppData\Local\Microsoft\Windows\INetCache\Content.Word\homeHeaderLogoImage_tr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Hüseyin\AppData\Local\Microsoft\Windows\INetCache\Content.Word\homeHeaderLogoImage_tr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431800"/>
                        </a:xfrm>
                        <a:prstGeom prst="rect">
                          <a:avLst/>
                        </a:prstGeom>
                        <a:noFill/>
                        <a:ln>
                          <a:noFill/>
                        </a:ln>
                      </pic:spPr>
                    </pic:pic>
                  </a:graphicData>
                </a:graphic>
              </wp:inline>
            </w:drawing>
          </w:r>
        </w:p>
      </w:tc>
      <w:tc>
        <w:tcPr>
          <w:tcW w:w="3402" w:type="dxa"/>
          <w:vAlign w:val="center"/>
        </w:tcPr>
        <w:p w:rsidR="008823BC" w:rsidRPr="001909AC" w:rsidRDefault="00FD3179" w:rsidP="008823BC">
          <w:pPr>
            <w:pStyle w:val="stbilgi"/>
            <w:tabs>
              <w:tab w:val="clear" w:pos="4536"/>
            </w:tabs>
            <w:spacing w:line="276" w:lineRule="auto"/>
            <w:jc w:val="right"/>
            <w:rPr>
              <w:rFonts w:asciiTheme="majorHAnsi" w:hAnsiTheme="majorHAnsi"/>
              <w:color w:val="808080" w:themeColor="background1" w:themeShade="80"/>
              <w:w w:val="102"/>
              <w:sz w:val="20"/>
            </w:rPr>
          </w:pPr>
          <w:r w:rsidRPr="001909AC">
            <w:rPr>
              <w:rFonts w:asciiTheme="majorHAnsi" w:hAnsiTheme="majorHAnsi"/>
              <w:color w:val="767171" w:themeColor="background2" w:themeShade="80"/>
              <w:w w:val="102"/>
              <w:sz w:val="20"/>
            </w:rPr>
            <w:t>Özgün Araştırma</w:t>
          </w:r>
        </w:p>
      </w:tc>
    </w:tr>
  </w:tbl>
  <w:p w:rsidR="00BA0699" w:rsidRPr="00BA0699" w:rsidRDefault="00BA0699" w:rsidP="00BA06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99"/>
    <w:rsid w:val="00001DFF"/>
    <w:rsid w:val="00006504"/>
    <w:rsid w:val="000067A7"/>
    <w:rsid w:val="00015125"/>
    <w:rsid w:val="00027E18"/>
    <w:rsid w:val="0003645B"/>
    <w:rsid w:val="000406B8"/>
    <w:rsid w:val="0004163A"/>
    <w:rsid w:val="00042C2B"/>
    <w:rsid w:val="00047B93"/>
    <w:rsid w:val="000572E9"/>
    <w:rsid w:val="00077686"/>
    <w:rsid w:val="000852C5"/>
    <w:rsid w:val="000853D7"/>
    <w:rsid w:val="000B208F"/>
    <w:rsid w:val="000B4EEA"/>
    <w:rsid w:val="000D437C"/>
    <w:rsid w:val="000E1D01"/>
    <w:rsid w:val="000F793E"/>
    <w:rsid w:val="00100108"/>
    <w:rsid w:val="0010437E"/>
    <w:rsid w:val="0011211B"/>
    <w:rsid w:val="001231FC"/>
    <w:rsid w:val="00124F64"/>
    <w:rsid w:val="001301DE"/>
    <w:rsid w:val="00137F23"/>
    <w:rsid w:val="001526E9"/>
    <w:rsid w:val="00153515"/>
    <w:rsid w:val="001536BF"/>
    <w:rsid w:val="00155D4A"/>
    <w:rsid w:val="0015688B"/>
    <w:rsid w:val="001631C3"/>
    <w:rsid w:val="001909AC"/>
    <w:rsid w:val="00190D5E"/>
    <w:rsid w:val="001A1B86"/>
    <w:rsid w:val="001A23CF"/>
    <w:rsid w:val="001A3291"/>
    <w:rsid w:val="001B4196"/>
    <w:rsid w:val="001C355D"/>
    <w:rsid w:val="001D2735"/>
    <w:rsid w:val="001D4006"/>
    <w:rsid w:val="001D69A8"/>
    <w:rsid w:val="001E3648"/>
    <w:rsid w:val="001E59FC"/>
    <w:rsid w:val="001F3A81"/>
    <w:rsid w:val="001F4692"/>
    <w:rsid w:val="00201523"/>
    <w:rsid w:val="002024C5"/>
    <w:rsid w:val="002032FB"/>
    <w:rsid w:val="00210E46"/>
    <w:rsid w:val="002117F2"/>
    <w:rsid w:val="0021709D"/>
    <w:rsid w:val="00225053"/>
    <w:rsid w:val="002324C9"/>
    <w:rsid w:val="002407F2"/>
    <w:rsid w:val="00245496"/>
    <w:rsid w:val="00245550"/>
    <w:rsid w:val="0024685F"/>
    <w:rsid w:val="002512C1"/>
    <w:rsid w:val="0025146C"/>
    <w:rsid w:val="0026185A"/>
    <w:rsid w:val="002721BE"/>
    <w:rsid w:val="0027386A"/>
    <w:rsid w:val="002748F3"/>
    <w:rsid w:val="002772F1"/>
    <w:rsid w:val="00282B08"/>
    <w:rsid w:val="002A15C5"/>
    <w:rsid w:val="002A6A6D"/>
    <w:rsid w:val="002A6AAC"/>
    <w:rsid w:val="002B48AF"/>
    <w:rsid w:val="002B664D"/>
    <w:rsid w:val="002C1859"/>
    <w:rsid w:val="002C22AB"/>
    <w:rsid w:val="002D0021"/>
    <w:rsid w:val="002D0573"/>
    <w:rsid w:val="002D117D"/>
    <w:rsid w:val="002D1BC2"/>
    <w:rsid w:val="002D6181"/>
    <w:rsid w:val="002D6D16"/>
    <w:rsid w:val="002F2272"/>
    <w:rsid w:val="00302866"/>
    <w:rsid w:val="00303B71"/>
    <w:rsid w:val="003050D6"/>
    <w:rsid w:val="00307860"/>
    <w:rsid w:val="003126BE"/>
    <w:rsid w:val="00315135"/>
    <w:rsid w:val="0032798C"/>
    <w:rsid w:val="00330D5D"/>
    <w:rsid w:val="00331F76"/>
    <w:rsid w:val="003358C8"/>
    <w:rsid w:val="00336AE0"/>
    <w:rsid w:val="00340A7B"/>
    <w:rsid w:val="00356DF2"/>
    <w:rsid w:val="00366CD5"/>
    <w:rsid w:val="00373312"/>
    <w:rsid w:val="003810DD"/>
    <w:rsid w:val="00386A1B"/>
    <w:rsid w:val="003A77AC"/>
    <w:rsid w:val="003B69AE"/>
    <w:rsid w:val="003C1FDD"/>
    <w:rsid w:val="003C405D"/>
    <w:rsid w:val="003D00AA"/>
    <w:rsid w:val="003D14FA"/>
    <w:rsid w:val="003D6291"/>
    <w:rsid w:val="003E44B1"/>
    <w:rsid w:val="003E6869"/>
    <w:rsid w:val="003F27E2"/>
    <w:rsid w:val="003F754F"/>
    <w:rsid w:val="00405259"/>
    <w:rsid w:val="004065B6"/>
    <w:rsid w:val="004100F3"/>
    <w:rsid w:val="00414E81"/>
    <w:rsid w:val="0043375B"/>
    <w:rsid w:val="00434571"/>
    <w:rsid w:val="004421A2"/>
    <w:rsid w:val="00450E7B"/>
    <w:rsid w:val="00465C88"/>
    <w:rsid w:val="00472377"/>
    <w:rsid w:val="00483271"/>
    <w:rsid w:val="004850DF"/>
    <w:rsid w:val="004869AB"/>
    <w:rsid w:val="00490B90"/>
    <w:rsid w:val="004B1997"/>
    <w:rsid w:val="004B450A"/>
    <w:rsid w:val="004C3A26"/>
    <w:rsid w:val="004C4828"/>
    <w:rsid w:val="004C651D"/>
    <w:rsid w:val="004D7A48"/>
    <w:rsid w:val="004E2755"/>
    <w:rsid w:val="004E4BA1"/>
    <w:rsid w:val="004E5504"/>
    <w:rsid w:val="005023C4"/>
    <w:rsid w:val="005028E5"/>
    <w:rsid w:val="005054E0"/>
    <w:rsid w:val="00507EFC"/>
    <w:rsid w:val="00511B45"/>
    <w:rsid w:val="00512999"/>
    <w:rsid w:val="00520CCF"/>
    <w:rsid w:val="005455F0"/>
    <w:rsid w:val="0054775C"/>
    <w:rsid w:val="00553020"/>
    <w:rsid w:val="00556C5F"/>
    <w:rsid w:val="00562EA3"/>
    <w:rsid w:val="005714C7"/>
    <w:rsid w:val="00573F6F"/>
    <w:rsid w:val="005756D6"/>
    <w:rsid w:val="00576DAB"/>
    <w:rsid w:val="00581A82"/>
    <w:rsid w:val="0059197E"/>
    <w:rsid w:val="00591D1F"/>
    <w:rsid w:val="00597286"/>
    <w:rsid w:val="005A62A0"/>
    <w:rsid w:val="005B3AD2"/>
    <w:rsid w:val="005C30DE"/>
    <w:rsid w:val="005C7090"/>
    <w:rsid w:val="005D06AD"/>
    <w:rsid w:val="005E2C3B"/>
    <w:rsid w:val="005E3AFD"/>
    <w:rsid w:val="005E605E"/>
    <w:rsid w:val="005F1884"/>
    <w:rsid w:val="005F35D6"/>
    <w:rsid w:val="006113A9"/>
    <w:rsid w:val="00612F55"/>
    <w:rsid w:val="006152DC"/>
    <w:rsid w:val="006271D6"/>
    <w:rsid w:val="00631706"/>
    <w:rsid w:val="00631C6A"/>
    <w:rsid w:val="006332B2"/>
    <w:rsid w:val="00655CD1"/>
    <w:rsid w:val="00664CBB"/>
    <w:rsid w:val="00665762"/>
    <w:rsid w:val="006670E5"/>
    <w:rsid w:val="0067184D"/>
    <w:rsid w:val="00672B96"/>
    <w:rsid w:val="0068528E"/>
    <w:rsid w:val="006935A8"/>
    <w:rsid w:val="006A0008"/>
    <w:rsid w:val="006A2AB8"/>
    <w:rsid w:val="006A6704"/>
    <w:rsid w:val="006A6A3B"/>
    <w:rsid w:val="006B1665"/>
    <w:rsid w:val="006B2B55"/>
    <w:rsid w:val="006C7FDB"/>
    <w:rsid w:val="006D293E"/>
    <w:rsid w:val="006D671C"/>
    <w:rsid w:val="006D690E"/>
    <w:rsid w:val="006D7C36"/>
    <w:rsid w:val="006F0D9F"/>
    <w:rsid w:val="006F36D7"/>
    <w:rsid w:val="006F7BC5"/>
    <w:rsid w:val="006F7C59"/>
    <w:rsid w:val="00702179"/>
    <w:rsid w:val="00702698"/>
    <w:rsid w:val="00707568"/>
    <w:rsid w:val="007174F2"/>
    <w:rsid w:val="0072063C"/>
    <w:rsid w:val="007241DA"/>
    <w:rsid w:val="00736EC8"/>
    <w:rsid w:val="00746DAF"/>
    <w:rsid w:val="00746EEF"/>
    <w:rsid w:val="00753710"/>
    <w:rsid w:val="007665C3"/>
    <w:rsid w:val="007964E5"/>
    <w:rsid w:val="0079659B"/>
    <w:rsid w:val="007A3083"/>
    <w:rsid w:val="007B1BFA"/>
    <w:rsid w:val="007D5B91"/>
    <w:rsid w:val="007D7F63"/>
    <w:rsid w:val="007E50F0"/>
    <w:rsid w:val="007F2884"/>
    <w:rsid w:val="007F4821"/>
    <w:rsid w:val="00806CD9"/>
    <w:rsid w:val="008114B8"/>
    <w:rsid w:val="00821AA6"/>
    <w:rsid w:val="00830053"/>
    <w:rsid w:val="0083443E"/>
    <w:rsid w:val="00846D4E"/>
    <w:rsid w:val="00846E5F"/>
    <w:rsid w:val="00850181"/>
    <w:rsid w:val="00855F18"/>
    <w:rsid w:val="00856CEE"/>
    <w:rsid w:val="00862057"/>
    <w:rsid w:val="00863CA8"/>
    <w:rsid w:val="00876151"/>
    <w:rsid w:val="008823BC"/>
    <w:rsid w:val="00882579"/>
    <w:rsid w:val="008933C7"/>
    <w:rsid w:val="00895804"/>
    <w:rsid w:val="008A098A"/>
    <w:rsid w:val="008A203A"/>
    <w:rsid w:val="008A6A7C"/>
    <w:rsid w:val="008B234B"/>
    <w:rsid w:val="008D7360"/>
    <w:rsid w:val="008E235C"/>
    <w:rsid w:val="00900BEF"/>
    <w:rsid w:val="00907B6A"/>
    <w:rsid w:val="00910352"/>
    <w:rsid w:val="00915A49"/>
    <w:rsid w:val="00923432"/>
    <w:rsid w:val="0092664B"/>
    <w:rsid w:val="00931111"/>
    <w:rsid w:val="00937252"/>
    <w:rsid w:val="0094178D"/>
    <w:rsid w:val="009425A6"/>
    <w:rsid w:val="00942CCE"/>
    <w:rsid w:val="00944E05"/>
    <w:rsid w:val="009472F3"/>
    <w:rsid w:val="00952976"/>
    <w:rsid w:val="00956593"/>
    <w:rsid w:val="009610AB"/>
    <w:rsid w:val="009754E6"/>
    <w:rsid w:val="00980B5A"/>
    <w:rsid w:val="009836A0"/>
    <w:rsid w:val="009A7B7A"/>
    <w:rsid w:val="009B1162"/>
    <w:rsid w:val="009B7A78"/>
    <w:rsid w:val="009C0E28"/>
    <w:rsid w:val="009C1EF8"/>
    <w:rsid w:val="009C3716"/>
    <w:rsid w:val="009C474C"/>
    <w:rsid w:val="009C6738"/>
    <w:rsid w:val="009D7859"/>
    <w:rsid w:val="009E1139"/>
    <w:rsid w:val="009F2BD6"/>
    <w:rsid w:val="009F5369"/>
    <w:rsid w:val="00A0751B"/>
    <w:rsid w:val="00A17846"/>
    <w:rsid w:val="00A2483F"/>
    <w:rsid w:val="00A27870"/>
    <w:rsid w:val="00A3653F"/>
    <w:rsid w:val="00A434E8"/>
    <w:rsid w:val="00A53C10"/>
    <w:rsid w:val="00A54021"/>
    <w:rsid w:val="00A62011"/>
    <w:rsid w:val="00A667C7"/>
    <w:rsid w:val="00A70D2C"/>
    <w:rsid w:val="00A86947"/>
    <w:rsid w:val="00A91AFF"/>
    <w:rsid w:val="00A95018"/>
    <w:rsid w:val="00AA1720"/>
    <w:rsid w:val="00AA57D8"/>
    <w:rsid w:val="00AC02C9"/>
    <w:rsid w:val="00AC327F"/>
    <w:rsid w:val="00AC4BF8"/>
    <w:rsid w:val="00AD329A"/>
    <w:rsid w:val="00AE7982"/>
    <w:rsid w:val="00AF04A2"/>
    <w:rsid w:val="00AF2552"/>
    <w:rsid w:val="00AF3F78"/>
    <w:rsid w:val="00AF5990"/>
    <w:rsid w:val="00B00EA9"/>
    <w:rsid w:val="00B04F3D"/>
    <w:rsid w:val="00B0621D"/>
    <w:rsid w:val="00B11315"/>
    <w:rsid w:val="00B203A1"/>
    <w:rsid w:val="00B36BA4"/>
    <w:rsid w:val="00B40649"/>
    <w:rsid w:val="00B45408"/>
    <w:rsid w:val="00B46C01"/>
    <w:rsid w:val="00B502CC"/>
    <w:rsid w:val="00B60308"/>
    <w:rsid w:val="00B63928"/>
    <w:rsid w:val="00B65DDF"/>
    <w:rsid w:val="00B7446B"/>
    <w:rsid w:val="00B774E7"/>
    <w:rsid w:val="00B874AF"/>
    <w:rsid w:val="00B95633"/>
    <w:rsid w:val="00BA0699"/>
    <w:rsid w:val="00BB59D5"/>
    <w:rsid w:val="00BC6C30"/>
    <w:rsid w:val="00BD1D96"/>
    <w:rsid w:val="00BE02AA"/>
    <w:rsid w:val="00BE67DD"/>
    <w:rsid w:val="00BF1BBF"/>
    <w:rsid w:val="00BF1C34"/>
    <w:rsid w:val="00BF1CF0"/>
    <w:rsid w:val="00BF3A16"/>
    <w:rsid w:val="00C03765"/>
    <w:rsid w:val="00C119F3"/>
    <w:rsid w:val="00C201B7"/>
    <w:rsid w:val="00C220D6"/>
    <w:rsid w:val="00C25EDD"/>
    <w:rsid w:val="00C330F5"/>
    <w:rsid w:val="00C416FE"/>
    <w:rsid w:val="00C47DBB"/>
    <w:rsid w:val="00C5620A"/>
    <w:rsid w:val="00C61733"/>
    <w:rsid w:val="00C62D3F"/>
    <w:rsid w:val="00C648A9"/>
    <w:rsid w:val="00C74046"/>
    <w:rsid w:val="00C74F16"/>
    <w:rsid w:val="00C7720E"/>
    <w:rsid w:val="00C77EAD"/>
    <w:rsid w:val="00C8212C"/>
    <w:rsid w:val="00C851F3"/>
    <w:rsid w:val="00C864B0"/>
    <w:rsid w:val="00C96C37"/>
    <w:rsid w:val="00CA187D"/>
    <w:rsid w:val="00CA668A"/>
    <w:rsid w:val="00CB4035"/>
    <w:rsid w:val="00CB5B28"/>
    <w:rsid w:val="00CC5BF2"/>
    <w:rsid w:val="00CF163F"/>
    <w:rsid w:val="00CF2E1B"/>
    <w:rsid w:val="00D0189C"/>
    <w:rsid w:val="00D05616"/>
    <w:rsid w:val="00D11F41"/>
    <w:rsid w:val="00D2773F"/>
    <w:rsid w:val="00D44926"/>
    <w:rsid w:val="00D6139A"/>
    <w:rsid w:val="00D919F8"/>
    <w:rsid w:val="00DA1EAF"/>
    <w:rsid w:val="00DA30E3"/>
    <w:rsid w:val="00DA3433"/>
    <w:rsid w:val="00DA5ADA"/>
    <w:rsid w:val="00DB233F"/>
    <w:rsid w:val="00DB4035"/>
    <w:rsid w:val="00DB4A0B"/>
    <w:rsid w:val="00DC3205"/>
    <w:rsid w:val="00DE13D3"/>
    <w:rsid w:val="00DE2A39"/>
    <w:rsid w:val="00DE42BE"/>
    <w:rsid w:val="00E02BFC"/>
    <w:rsid w:val="00E12942"/>
    <w:rsid w:val="00E13A66"/>
    <w:rsid w:val="00E14576"/>
    <w:rsid w:val="00E329E0"/>
    <w:rsid w:val="00E35AB1"/>
    <w:rsid w:val="00E45E77"/>
    <w:rsid w:val="00E500C6"/>
    <w:rsid w:val="00E524F3"/>
    <w:rsid w:val="00E57CB8"/>
    <w:rsid w:val="00E6477C"/>
    <w:rsid w:val="00E66761"/>
    <w:rsid w:val="00E70DB0"/>
    <w:rsid w:val="00E75474"/>
    <w:rsid w:val="00E861AE"/>
    <w:rsid w:val="00E94E22"/>
    <w:rsid w:val="00E96B03"/>
    <w:rsid w:val="00EA7FCA"/>
    <w:rsid w:val="00EB4683"/>
    <w:rsid w:val="00EC041D"/>
    <w:rsid w:val="00EC3059"/>
    <w:rsid w:val="00EC6411"/>
    <w:rsid w:val="00EC6C4F"/>
    <w:rsid w:val="00ED1CC1"/>
    <w:rsid w:val="00ED3BFC"/>
    <w:rsid w:val="00ED6C9A"/>
    <w:rsid w:val="00EF7FDC"/>
    <w:rsid w:val="00F012B6"/>
    <w:rsid w:val="00F02A9D"/>
    <w:rsid w:val="00F16928"/>
    <w:rsid w:val="00F47D4F"/>
    <w:rsid w:val="00F7671B"/>
    <w:rsid w:val="00F77CD7"/>
    <w:rsid w:val="00F82E33"/>
    <w:rsid w:val="00F82FD5"/>
    <w:rsid w:val="00F87D18"/>
    <w:rsid w:val="00FA1B59"/>
    <w:rsid w:val="00FC326E"/>
    <w:rsid w:val="00FD3179"/>
    <w:rsid w:val="00FD7BFA"/>
    <w:rsid w:val="00FE46FF"/>
    <w:rsid w:val="00FF1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FB9FD-0C74-448C-A829-C38E50A9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FD317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
    <w:semiHidden/>
    <w:unhideWhenUsed/>
    <w:qFormat/>
    <w:rsid w:val="00FD31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06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0699"/>
  </w:style>
  <w:style w:type="paragraph" w:styleId="Altbilgi">
    <w:name w:val="footer"/>
    <w:basedOn w:val="Normal"/>
    <w:link w:val="AltbilgiChar"/>
    <w:uiPriority w:val="99"/>
    <w:unhideWhenUsed/>
    <w:rsid w:val="00BA06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0699"/>
  </w:style>
  <w:style w:type="table" w:styleId="TabloKlavuzu">
    <w:name w:val="Table Grid"/>
    <w:basedOn w:val="NormalTablo"/>
    <w:uiPriority w:val="39"/>
    <w:rsid w:val="00BA0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FD3179"/>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semiHidden/>
    <w:rsid w:val="00FD3179"/>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E57CB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E605E"/>
    <w:rPr>
      <w:color w:val="0563C1" w:themeColor="hyperlink"/>
      <w:u w:val="single"/>
    </w:rPr>
  </w:style>
  <w:style w:type="paragraph" w:styleId="DipnotMetni">
    <w:name w:val="footnote text"/>
    <w:basedOn w:val="Normal"/>
    <w:link w:val="DipnotMetniChar"/>
    <w:uiPriority w:val="99"/>
    <w:semiHidden/>
    <w:unhideWhenUsed/>
    <w:rsid w:val="00B9563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95633"/>
    <w:rPr>
      <w:sz w:val="20"/>
      <w:szCs w:val="20"/>
    </w:rPr>
  </w:style>
  <w:style w:type="character" w:styleId="DipnotBavurusu">
    <w:name w:val="footnote reference"/>
    <w:basedOn w:val="VarsaylanParagrafYazTipi"/>
    <w:uiPriority w:val="99"/>
    <w:semiHidden/>
    <w:unhideWhenUsed/>
    <w:rsid w:val="00B95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22959">
      <w:bodyDiv w:val="1"/>
      <w:marLeft w:val="0"/>
      <w:marRight w:val="0"/>
      <w:marTop w:val="0"/>
      <w:marBottom w:val="0"/>
      <w:divBdr>
        <w:top w:val="none" w:sz="0" w:space="0" w:color="auto"/>
        <w:left w:val="none" w:sz="0" w:space="0" w:color="auto"/>
        <w:bottom w:val="none" w:sz="0" w:space="0" w:color="auto"/>
        <w:right w:val="none" w:sz="0" w:space="0" w:color="auto"/>
      </w:divBdr>
    </w:div>
    <w:div w:id="1053966566">
      <w:bodyDiv w:val="1"/>
      <w:marLeft w:val="0"/>
      <w:marRight w:val="0"/>
      <w:marTop w:val="0"/>
      <w:marBottom w:val="0"/>
      <w:divBdr>
        <w:top w:val="none" w:sz="0" w:space="0" w:color="auto"/>
        <w:left w:val="none" w:sz="0" w:space="0" w:color="auto"/>
        <w:bottom w:val="none" w:sz="0" w:space="0" w:color="auto"/>
        <w:right w:val="none" w:sz="0" w:space="0" w:color="auto"/>
      </w:divBdr>
    </w:div>
    <w:div w:id="206844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9289A-B6FA-47E3-86E8-A8B7298B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2517</Words>
  <Characters>14348</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Yayın Kurulu</dc:creator>
  <cp:keywords/>
  <dc:description/>
  <cp:lastModifiedBy>Yayın Kurulu</cp:lastModifiedBy>
  <cp:revision>83</cp:revision>
  <cp:lastPrinted>2015-03-10T21:18:00Z</cp:lastPrinted>
  <dcterms:created xsi:type="dcterms:W3CDTF">2015-03-10T19:42:00Z</dcterms:created>
  <dcterms:modified xsi:type="dcterms:W3CDTF">2015-03-16T18:40:00Z</dcterms:modified>
</cp:coreProperties>
</file>